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1ECAE" w14:textId="5BDB386A" w:rsidR="002C4518" w:rsidRPr="009D1685" w:rsidRDefault="00541BDD">
      <w:pPr>
        <w:rPr>
          <w:i/>
        </w:rPr>
      </w:pPr>
      <w:r w:rsidRPr="009D1685">
        <w:rPr>
          <w:i/>
        </w:rPr>
        <w:t>Sveinung Eikeland, viserektor UiT Norges arktiske universitet (UiT),15 juni 2019</w:t>
      </w:r>
    </w:p>
    <w:p w14:paraId="7FE1B051" w14:textId="77777777" w:rsidR="008B7AE0" w:rsidRPr="00BE249E" w:rsidRDefault="008B7AE0"/>
    <w:p w14:paraId="2197521D" w14:textId="28523056" w:rsidR="008B30E6" w:rsidRDefault="00647C87">
      <w:pPr>
        <w:rPr>
          <w:sz w:val="32"/>
          <w:szCs w:val="32"/>
        </w:rPr>
      </w:pPr>
      <w:r>
        <w:rPr>
          <w:sz w:val="32"/>
          <w:szCs w:val="32"/>
        </w:rPr>
        <w:t>Er u</w:t>
      </w:r>
      <w:r w:rsidR="00B45C97">
        <w:rPr>
          <w:sz w:val="32"/>
          <w:szCs w:val="32"/>
        </w:rPr>
        <w:t>niversiteta og høgsko</w:t>
      </w:r>
      <w:r w:rsidR="00541BDD">
        <w:rPr>
          <w:sz w:val="32"/>
          <w:szCs w:val="32"/>
        </w:rPr>
        <w:t xml:space="preserve">lanes </w:t>
      </w:r>
      <w:r w:rsidR="008F0543" w:rsidRPr="008F0543">
        <w:rPr>
          <w:sz w:val="32"/>
          <w:szCs w:val="32"/>
        </w:rPr>
        <w:t>regional</w:t>
      </w:r>
      <w:r w:rsidR="00AC19CA">
        <w:rPr>
          <w:sz w:val="32"/>
          <w:szCs w:val="32"/>
        </w:rPr>
        <w:t>e forankring</w:t>
      </w:r>
      <w:r w:rsidR="008F0543">
        <w:rPr>
          <w:sz w:val="32"/>
          <w:szCs w:val="32"/>
        </w:rPr>
        <w:t xml:space="preserve"> </w:t>
      </w:r>
      <w:r w:rsidR="005F7007">
        <w:rPr>
          <w:sz w:val="32"/>
          <w:szCs w:val="32"/>
        </w:rPr>
        <w:t>ei sak for UH-lova?</w:t>
      </w:r>
    </w:p>
    <w:p w14:paraId="2443B46B" w14:textId="77777777" w:rsidR="00541BDD" w:rsidRDefault="00541BDD">
      <w:pPr>
        <w:rPr>
          <w:sz w:val="24"/>
          <w:szCs w:val="24"/>
        </w:rPr>
      </w:pPr>
    </w:p>
    <w:p w14:paraId="01D64BE0" w14:textId="78FA9920" w:rsidR="005F7007" w:rsidRDefault="008F0543">
      <w:pPr>
        <w:rPr>
          <w:sz w:val="24"/>
          <w:szCs w:val="24"/>
        </w:rPr>
      </w:pPr>
      <w:r w:rsidRPr="008F0543">
        <w:rPr>
          <w:sz w:val="24"/>
          <w:szCs w:val="24"/>
        </w:rPr>
        <w:t>Med overskrifta «</w:t>
      </w:r>
      <w:r w:rsidRPr="009D1685">
        <w:rPr>
          <w:i/>
          <w:sz w:val="24"/>
          <w:szCs w:val="24"/>
        </w:rPr>
        <w:t>Holder seg i hjemtraktene</w:t>
      </w:r>
      <w:r w:rsidRPr="008F0543">
        <w:rPr>
          <w:sz w:val="24"/>
          <w:szCs w:val="24"/>
        </w:rPr>
        <w:t xml:space="preserve">» </w:t>
      </w:r>
      <w:r w:rsidR="00C2749F">
        <w:rPr>
          <w:sz w:val="24"/>
          <w:szCs w:val="24"/>
        </w:rPr>
        <w:t xml:space="preserve">omtalte </w:t>
      </w:r>
      <w:r w:rsidR="001229E9" w:rsidRPr="008F0543">
        <w:rPr>
          <w:sz w:val="24"/>
          <w:szCs w:val="24"/>
        </w:rPr>
        <w:t xml:space="preserve"> Aftenposten </w:t>
      </w:r>
      <w:r w:rsidR="00361948" w:rsidRPr="008F0543">
        <w:rPr>
          <w:sz w:val="24"/>
          <w:szCs w:val="24"/>
        </w:rPr>
        <w:t>16. februar</w:t>
      </w:r>
      <w:r w:rsidRPr="008F0543">
        <w:rPr>
          <w:sz w:val="24"/>
          <w:szCs w:val="24"/>
        </w:rPr>
        <w:t xml:space="preserve"> 2011 </w:t>
      </w:r>
      <w:r w:rsidR="001229E9" w:rsidRPr="00327E2D">
        <w:rPr>
          <w:sz w:val="24"/>
          <w:szCs w:val="24"/>
        </w:rPr>
        <w:t xml:space="preserve">ein analyse av studentrekruttering </w:t>
      </w:r>
      <w:r w:rsidR="00FE7A55" w:rsidRPr="00327E2D">
        <w:rPr>
          <w:sz w:val="24"/>
          <w:szCs w:val="24"/>
        </w:rPr>
        <w:t>basert på tal frå samordna opptak 2003-2009</w:t>
      </w:r>
      <w:r w:rsidR="00541BDD">
        <w:rPr>
          <w:sz w:val="24"/>
          <w:szCs w:val="24"/>
        </w:rPr>
        <w:t xml:space="preserve"> gjort av NIFU</w:t>
      </w:r>
      <w:r w:rsidR="00FE7A55" w:rsidRPr="00327E2D">
        <w:rPr>
          <w:rStyle w:val="Fotnotereferanse"/>
          <w:sz w:val="24"/>
          <w:szCs w:val="24"/>
        </w:rPr>
        <w:footnoteReference w:id="1"/>
      </w:r>
      <w:r>
        <w:rPr>
          <w:sz w:val="24"/>
          <w:szCs w:val="24"/>
        </w:rPr>
        <w:t xml:space="preserve">. Rapporten </w:t>
      </w:r>
      <w:r w:rsidR="001229E9" w:rsidRPr="00327E2D">
        <w:rPr>
          <w:sz w:val="24"/>
          <w:szCs w:val="24"/>
        </w:rPr>
        <w:t xml:space="preserve">slår fast </w:t>
      </w:r>
      <w:r w:rsidR="005F7007">
        <w:rPr>
          <w:sz w:val="24"/>
          <w:szCs w:val="24"/>
        </w:rPr>
        <w:t xml:space="preserve">at studentar ikkje </w:t>
      </w:r>
      <w:r w:rsidR="001229E9" w:rsidRPr="00327E2D">
        <w:rPr>
          <w:sz w:val="24"/>
          <w:szCs w:val="24"/>
        </w:rPr>
        <w:t xml:space="preserve">flyttar ut av landsdelen </w:t>
      </w:r>
      <w:r w:rsidR="00E43087">
        <w:rPr>
          <w:sz w:val="24"/>
          <w:szCs w:val="24"/>
        </w:rPr>
        <w:t xml:space="preserve">dei er vaksne opp i </w:t>
      </w:r>
      <w:r w:rsidR="00BD1DED">
        <w:rPr>
          <w:sz w:val="24"/>
          <w:szCs w:val="24"/>
        </w:rPr>
        <w:t>for å studera. Reportasjen va</w:t>
      </w:r>
      <w:r w:rsidR="001229E9" w:rsidRPr="00327E2D">
        <w:rPr>
          <w:sz w:val="24"/>
          <w:szCs w:val="24"/>
        </w:rPr>
        <w:t>r krydra med intervju med studentar frå Osloregionen som studerer i</w:t>
      </w:r>
      <w:r w:rsidR="00541BDD">
        <w:rPr>
          <w:sz w:val="24"/>
          <w:szCs w:val="24"/>
        </w:rPr>
        <w:t xml:space="preserve"> Oslo. </w:t>
      </w:r>
    </w:p>
    <w:p w14:paraId="2C461E71" w14:textId="2C3A7633" w:rsidR="00541BDD" w:rsidRDefault="005F7007">
      <w:pPr>
        <w:rPr>
          <w:sz w:val="24"/>
          <w:szCs w:val="24"/>
        </w:rPr>
      </w:pPr>
      <w:r>
        <w:rPr>
          <w:sz w:val="24"/>
          <w:szCs w:val="24"/>
        </w:rPr>
        <w:t>M</w:t>
      </w:r>
      <w:r w:rsidR="00541BDD">
        <w:rPr>
          <w:sz w:val="24"/>
          <w:szCs w:val="24"/>
        </w:rPr>
        <w:t xml:space="preserve">ønsteret gir </w:t>
      </w:r>
      <w:r w:rsidR="001229E9" w:rsidRPr="00327E2D">
        <w:rPr>
          <w:sz w:val="24"/>
          <w:szCs w:val="24"/>
        </w:rPr>
        <w:t xml:space="preserve">politiske forventingar både regionalt, lokalt og nasjonalt </w:t>
      </w:r>
      <w:r w:rsidR="009C51F0">
        <w:rPr>
          <w:sz w:val="24"/>
          <w:szCs w:val="24"/>
        </w:rPr>
        <w:t xml:space="preserve">til at </w:t>
      </w:r>
      <w:r w:rsidR="001229E9" w:rsidRPr="00327E2D">
        <w:rPr>
          <w:sz w:val="24"/>
          <w:szCs w:val="24"/>
        </w:rPr>
        <w:t>st</w:t>
      </w:r>
      <w:r w:rsidR="001712F6">
        <w:rPr>
          <w:sz w:val="24"/>
          <w:szCs w:val="24"/>
        </w:rPr>
        <w:t>uderande skal ha muligheter til</w:t>
      </w:r>
      <w:r w:rsidR="00541BDD">
        <w:rPr>
          <w:sz w:val="24"/>
          <w:szCs w:val="24"/>
        </w:rPr>
        <w:t xml:space="preserve"> tilgang til høgre utdanning</w:t>
      </w:r>
      <w:r w:rsidR="001229E9" w:rsidRPr="00327E2D">
        <w:rPr>
          <w:sz w:val="24"/>
          <w:szCs w:val="24"/>
        </w:rPr>
        <w:t xml:space="preserve"> i </w:t>
      </w:r>
      <w:r w:rsidR="00541BDD">
        <w:rPr>
          <w:sz w:val="24"/>
          <w:szCs w:val="24"/>
        </w:rPr>
        <w:t>«</w:t>
      </w:r>
      <w:r w:rsidR="001229E9" w:rsidRPr="00327E2D">
        <w:rPr>
          <w:sz w:val="24"/>
          <w:szCs w:val="24"/>
        </w:rPr>
        <w:t>sin</w:t>
      </w:r>
      <w:r w:rsidR="00541BDD">
        <w:rPr>
          <w:sz w:val="24"/>
          <w:szCs w:val="24"/>
        </w:rPr>
        <w:t>»</w:t>
      </w:r>
      <w:r w:rsidR="001229E9" w:rsidRPr="00327E2D">
        <w:rPr>
          <w:sz w:val="24"/>
          <w:szCs w:val="24"/>
        </w:rPr>
        <w:t xml:space="preserve"> landsdel</w:t>
      </w:r>
      <w:r w:rsidR="00E16CE6" w:rsidRPr="00327E2D">
        <w:rPr>
          <w:sz w:val="24"/>
          <w:szCs w:val="24"/>
        </w:rPr>
        <w:t xml:space="preserve"> og helst også i </w:t>
      </w:r>
      <w:r w:rsidR="00541BDD">
        <w:rPr>
          <w:sz w:val="24"/>
          <w:szCs w:val="24"/>
        </w:rPr>
        <w:t>«</w:t>
      </w:r>
      <w:r w:rsidR="00E16CE6" w:rsidRPr="00327E2D">
        <w:rPr>
          <w:sz w:val="24"/>
          <w:szCs w:val="24"/>
        </w:rPr>
        <w:t>sin</w:t>
      </w:r>
      <w:r w:rsidR="00541BDD">
        <w:rPr>
          <w:sz w:val="24"/>
          <w:szCs w:val="24"/>
        </w:rPr>
        <w:t>»</w:t>
      </w:r>
      <w:r w:rsidR="00E16CE6" w:rsidRPr="00327E2D">
        <w:rPr>
          <w:sz w:val="24"/>
          <w:szCs w:val="24"/>
        </w:rPr>
        <w:t xml:space="preserve"> </w:t>
      </w:r>
      <w:r w:rsidR="00541BDD">
        <w:rPr>
          <w:sz w:val="24"/>
          <w:szCs w:val="24"/>
        </w:rPr>
        <w:t xml:space="preserve">geografiske </w:t>
      </w:r>
      <w:r w:rsidR="00E16CE6" w:rsidRPr="00327E2D">
        <w:rPr>
          <w:sz w:val="24"/>
          <w:szCs w:val="24"/>
        </w:rPr>
        <w:t>del av landsdelen</w:t>
      </w:r>
      <w:r>
        <w:rPr>
          <w:sz w:val="24"/>
          <w:szCs w:val="24"/>
        </w:rPr>
        <w:t xml:space="preserve">. </w:t>
      </w:r>
      <w:r w:rsidR="00114F6B">
        <w:rPr>
          <w:sz w:val="24"/>
          <w:szCs w:val="24"/>
        </w:rPr>
        <w:t>At</w:t>
      </w:r>
      <w:r w:rsidR="00E43087">
        <w:rPr>
          <w:sz w:val="24"/>
          <w:szCs w:val="24"/>
        </w:rPr>
        <w:t xml:space="preserve"> studentane held seg i heimetraktene, set </w:t>
      </w:r>
      <w:r w:rsidR="00541BDD">
        <w:rPr>
          <w:sz w:val="24"/>
          <w:szCs w:val="24"/>
        </w:rPr>
        <w:t xml:space="preserve">også </w:t>
      </w:r>
      <w:r w:rsidR="00E43087">
        <w:rPr>
          <w:sz w:val="24"/>
          <w:szCs w:val="24"/>
        </w:rPr>
        <w:t xml:space="preserve">rammer for utviklinga av universiteta og høgskolane. Ikkje minst på den måten at føresetnader for å  utvikla institusjonane varierer med utgangspunkt i kjenneteikn ved den regionen dei er lokaliserte i.  </w:t>
      </w:r>
    </w:p>
    <w:p w14:paraId="11BFD0B3" w14:textId="0A9DB371" w:rsidR="00E43087" w:rsidRDefault="00541BDD">
      <w:pPr>
        <w:rPr>
          <w:sz w:val="24"/>
          <w:szCs w:val="24"/>
        </w:rPr>
      </w:pPr>
      <w:r>
        <w:rPr>
          <w:sz w:val="24"/>
          <w:szCs w:val="24"/>
        </w:rPr>
        <w:t>N</w:t>
      </w:r>
      <w:r w:rsidR="00E43087">
        <w:rPr>
          <w:sz w:val="24"/>
          <w:szCs w:val="24"/>
        </w:rPr>
        <w:t xml:space="preserve">otatet </w:t>
      </w:r>
      <w:r>
        <w:rPr>
          <w:sz w:val="24"/>
          <w:szCs w:val="24"/>
        </w:rPr>
        <w:t xml:space="preserve">er </w:t>
      </w:r>
      <w:r w:rsidR="00E43087">
        <w:rPr>
          <w:sz w:val="24"/>
          <w:szCs w:val="24"/>
        </w:rPr>
        <w:t>stila til det offentlege utvalet som førebur eventuelle endringar i universitets</w:t>
      </w:r>
      <w:r w:rsidR="00750972">
        <w:rPr>
          <w:sz w:val="24"/>
          <w:szCs w:val="24"/>
        </w:rPr>
        <w:t>-</w:t>
      </w:r>
      <w:r w:rsidR="00E43087">
        <w:rPr>
          <w:sz w:val="24"/>
          <w:szCs w:val="24"/>
        </w:rPr>
        <w:t xml:space="preserve"> og høgskolelova</w:t>
      </w:r>
      <w:r w:rsidR="00750972">
        <w:rPr>
          <w:sz w:val="24"/>
          <w:szCs w:val="24"/>
        </w:rPr>
        <w:t xml:space="preserve"> av 2005 (UH-lova)</w:t>
      </w:r>
      <w:r w:rsidR="00E43087">
        <w:rPr>
          <w:sz w:val="24"/>
          <w:szCs w:val="24"/>
        </w:rPr>
        <w:t>. Under</w:t>
      </w:r>
      <w:r w:rsidR="00E16CE6" w:rsidRPr="00327E2D">
        <w:rPr>
          <w:sz w:val="24"/>
          <w:szCs w:val="24"/>
        </w:rPr>
        <w:t>teikna er ikkje rettslærd</w:t>
      </w:r>
      <w:r>
        <w:rPr>
          <w:sz w:val="24"/>
          <w:szCs w:val="24"/>
        </w:rPr>
        <w:t xml:space="preserve">, </w:t>
      </w:r>
      <w:r w:rsidR="00E16CE6" w:rsidRPr="00327E2D">
        <w:rPr>
          <w:sz w:val="24"/>
          <w:szCs w:val="24"/>
        </w:rPr>
        <w:t xml:space="preserve">men </w:t>
      </w:r>
      <w:r>
        <w:rPr>
          <w:sz w:val="24"/>
          <w:szCs w:val="24"/>
        </w:rPr>
        <w:t xml:space="preserve">reiser </w:t>
      </w:r>
      <w:r w:rsidR="00E16CE6" w:rsidRPr="00327E2D">
        <w:rPr>
          <w:sz w:val="24"/>
          <w:szCs w:val="24"/>
        </w:rPr>
        <w:t xml:space="preserve">likevel </w:t>
      </w:r>
      <w:r w:rsidR="00630807">
        <w:rPr>
          <w:sz w:val="24"/>
          <w:szCs w:val="24"/>
        </w:rPr>
        <w:t xml:space="preserve">spørsmål </w:t>
      </w:r>
      <w:r w:rsidR="00E16CE6" w:rsidRPr="00327E2D">
        <w:rPr>
          <w:sz w:val="24"/>
          <w:szCs w:val="24"/>
        </w:rPr>
        <w:t xml:space="preserve">om </w:t>
      </w:r>
      <w:r w:rsidR="00630807">
        <w:rPr>
          <w:sz w:val="24"/>
          <w:szCs w:val="24"/>
        </w:rPr>
        <w:t>institusjonanes regionale forankring burde vore meir reflektert i lova enn den er i dag.</w:t>
      </w:r>
      <w:r w:rsidR="00E16CE6" w:rsidRPr="00327E2D">
        <w:rPr>
          <w:sz w:val="24"/>
          <w:szCs w:val="24"/>
        </w:rPr>
        <w:t xml:space="preserve"> </w:t>
      </w:r>
    </w:p>
    <w:p w14:paraId="1C1851EA" w14:textId="7A2986C2" w:rsidR="00881BDC" w:rsidRDefault="006F2463" w:rsidP="00361948">
      <w:pPr>
        <w:rPr>
          <w:sz w:val="24"/>
          <w:szCs w:val="24"/>
        </w:rPr>
      </w:pPr>
      <w:r>
        <w:rPr>
          <w:sz w:val="24"/>
          <w:szCs w:val="24"/>
        </w:rPr>
        <w:t>E</w:t>
      </w:r>
      <w:r w:rsidR="00361948" w:rsidRPr="00327E2D">
        <w:rPr>
          <w:sz w:val="24"/>
          <w:szCs w:val="24"/>
        </w:rPr>
        <w:t xml:space="preserve">it </w:t>
      </w:r>
      <w:r>
        <w:rPr>
          <w:sz w:val="24"/>
          <w:szCs w:val="24"/>
        </w:rPr>
        <w:t xml:space="preserve">inntak til eit lovperspektiv er </w:t>
      </w:r>
      <w:r w:rsidR="00361948" w:rsidRPr="00327E2D">
        <w:rPr>
          <w:sz w:val="24"/>
          <w:szCs w:val="24"/>
        </w:rPr>
        <w:t xml:space="preserve">at lover enten, men oftast både </w:t>
      </w:r>
      <w:r>
        <w:rPr>
          <w:sz w:val="24"/>
          <w:szCs w:val="24"/>
        </w:rPr>
        <w:t xml:space="preserve">og, </w:t>
      </w:r>
      <w:r w:rsidR="00361948" w:rsidRPr="00327E2D">
        <w:rPr>
          <w:sz w:val="24"/>
          <w:szCs w:val="24"/>
        </w:rPr>
        <w:t>e</w:t>
      </w:r>
      <w:r w:rsidR="00B45C97">
        <w:rPr>
          <w:sz w:val="24"/>
          <w:szCs w:val="24"/>
        </w:rPr>
        <w:t>r deskriptive og normative</w:t>
      </w:r>
      <w:r w:rsidR="00361948" w:rsidRPr="00327E2D">
        <w:rPr>
          <w:sz w:val="24"/>
          <w:szCs w:val="24"/>
        </w:rPr>
        <w:t>. Det normative ved lover seier noe om forventningar i samfunnet, medan det deskriptive ved ei lov inkludere</w:t>
      </w:r>
      <w:r w:rsidR="003314E8">
        <w:rPr>
          <w:sz w:val="24"/>
          <w:szCs w:val="24"/>
        </w:rPr>
        <w:t xml:space="preserve">r den røyndommen samfunnet meiner det er viktig at </w:t>
      </w:r>
      <w:r w:rsidR="00361948" w:rsidRPr="00327E2D">
        <w:rPr>
          <w:sz w:val="24"/>
          <w:szCs w:val="24"/>
        </w:rPr>
        <w:t xml:space="preserve">rettar og plikter </w:t>
      </w:r>
      <w:r w:rsidR="003314E8">
        <w:rPr>
          <w:sz w:val="24"/>
          <w:szCs w:val="24"/>
        </w:rPr>
        <w:t>er formaliserte i. Ei deskriptiv lov «</w:t>
      </w:r>
      <w:r w:rsidR="00361948" w:rsidRPr="00327E2D">
        <w:rPr>
          <w:sz w:val="24"/>
          <w:szCs w:val="24"/>
        </w:rPr>
        <w:t>føye</w:t>
      </w:r>
      <w:r w:rsidR="00B45C97">
        <w:rPr>
          <w:sz w:val="24"/>
          <w:szCs w:val="24"/>
        </w:rPr>
        <w:t>r seg etter virkeligheten»</w:t>
      </w:r>
      <w:r w:rsidR="00B45C97">
        <w:rPr>
          <w:rStyle w:val="Fotnotereferanse"/>
          <w:sz w:val="24"/>
          <w:szCs w:val="24"/>
        </w:rPr>
        <w:footnoteReference w:id="2"/>
      </w:r>
      <w:r w:rsidR="00361948" w:rsidRPr="00327E2D">
        <w:rPr>
          <w:sz w:val="24"/>
          <w:szCs w:val="24"/>
        </w:rPr>
        <w:t>. Utan å samanlikna med uni</w:t>
      </w:r>
      <w:r w:rsidR="009D1685">
        <w:rPr>
          <w:sz w:val="24"/>
          <w:szCs w:val="24"/>
        </w:rPr>
        <w:t xml:space="preserve">versitets – og høgskolelova, </w:t>
      </w:r>
      <w:r w:rsidR="00361948" w:rsidRPr="00327E2D">
        <w:rPr>
          <w:sz w:val="24"/>
          <w:szCs w:val="24"/>
        </w:rPr>
        <w:t xml:space="preserve">er t.d. </w:t>
      </w:r>
      <w:r w:rsidR="00647C87" w:rsidRPr="00327E2D">
        <w:rPr>
          <w:sz w:val="24"/>
          <w:szCs w:val="24"/>
        </w:rPr>
        <w:t>barnevern lova</w:t>
      </w:r>
      <w:r w:rsidR="00361948" w:rsidRPr="00327E2D">
        <w:rPr>
          <w:sz w:val="24"/>
          <w:szCs w:val="24"/>
        </w:rPr>
        <w:t xml:space="preserve"> både ei normativ lov ved den stiller krav til oppførselen til folk med omsorg for ungar</w:t>
      </w:r>
      <w:r w:rsidR="00B5233F">
        <w:rPr>
          <w:sz w:val="24"/>
          <w:szCs w:val="24"/>
        </w:rPr>
        <w:t>,</w:t>
      </w:r>
      <w:r w:rsidR="00361948" w:rsidRPr="00327E2D">
        <w:rPr>
          <w:sz w:val="24"/>
          <w:szCs w:val="24"/>
        </w:rPr>
        <w:t xml:space="preserve"> og ei deskriptiv lov ved at den dekker rettar og pliktar ved konfliktar</w:t>
      </w:r>
      <w:r w:rsidR="009D1685">
        <w:rPr>
          <w:sz w:val="24"/>
          <w:szCs w:val="24"/>
        </w:rPr>
        <w:t xml:space="preserve">. </w:t>
      </w:r>
      <w:r w:rsidR="003314E8">
        <w:rPr>
          <w:sz w:val="24"/>
          <w:szCs w:val="24"/>
        </w:rPr>
        <w:t xml:space="preserve"> </w:t>
      </w:r>
      <w:r w:rsidR="0008129A">
        <w:rPr>
          <w:sz w:val="24"/>
          <w:szCs w:val="24"/>
        </w:rPr>
        <w:t>I utgangspunktet skulle vi då tru at universitets – og høgskolelova</w:t>
      </w:r>
      <w:r w:rsidR="00B5233F">
        <w:rPr>
          <w:sz w:val="24"/>
          <w:szCs w:val="24"/>
        </w:rPr>
        <w:t xml:space="preserve"> også burde reflektera </w:t>
      </w:r>
      <w:r w:rsidR="00630807">
        <w:rPr>
          <w:sz w:val="24"/>
          <w:szCs w:val="24"/>
        </w:rPr>
        <w:t xml:space="preserve">at den </w:t>
      </w:r>
      <w:r w:rsidR="0008129A">
        <w:rPr>
          <w:sz w:val="24"/>
          <w:szCs w:val="24"/>
        </w:rPr>
        <w:t>behandlar institusjonar som de facto driv på basis av «input» og «output» i regionar.</w:t>
      </w:r>
    </w:p>
    <w:p w14:paraId="25502755" w14:textId="77777777" w:rsidR="009D1685" w:rsidRDefault="00881BDC" w:rsidP="00361948">
      <w:pPr>
        <w:rPr>
          <w:sz w:val="24"/>
          <w:szCs w:val="24"/>
        </w:rPr>
      </w:pPr>
      <w:r>
        <w:rPr>
          <w:sz w:val="24"/>
          <w:szCs w:val="24"/>
        </w:rPr>
        <w:t xml:space="preserve">I debattar om det regionale sett frå universiteta og høgskolane, dominerer </w:t>
      </w:r>
      <w:r w:rsidR="00630807">
        <w:rPr>
          <w:sz w:val="24"/>
          <w:szCs w:val="24"/>
        </w:rPr>
        <w:t>styringsperspektivet. Dvs. konkretisert til eit krav</w:t>
      </w:r>
      <w:r>
        <w:rPr>
          <w:sz w:val="24"/>
          <w:szCs w:val="24"/>
        </w:rPr>
        <w:t xml:space="preserve"> om at lova må slå fast autonomi. Frå eit auto</w:t>
      </w:r>
      <w:r w:rsidR="00630807">
        <w:rPr>
          <w:sz w:val="24"/>
          <w:szCs w:val="24"/>
        </w:rPr>
        <w:t>nomiperspektiv vektlegges</w:t>
      </w:r>
      <w:r>
        <w:rPr>
          <w:sz w:val="24"/>
          <w:szCs w:val="24"/>
        </w:rPr>
        <w:t xml:space="preserve"> retten til institusjonane, og ved </w:t>
      </w:r>
      <w:r w:rsidR="00630807">
        <w:rPr>
          <w:sz w:val="24"/>
          <w:szCs w:val="24"/>
        </w:rPr>
        <w:t xml:space="preserve">at </w:t>
      </w:r>
      <w:r>
        <w:rPr>
          <w:sz w:val="24"/>
          <w:szCs w:val="24"/>
        </w:rPr>
        <w:t xml:space="preserve">staten gir denne retten signaliserer den også ei normativt oppfatning av at dei skal ha eit sjølvstyre. </w:t>
      </w:r>
      <w:r w:rsidR="003D12F5">
        <w:rPr>
          <w:sz w:val="24"/>
          <w:szCs w:val="24"/>
        </w:rPr>
        <w:t xml:space="preserve"> Dagens  UH lov</w:t>
      </w:r>
      <w:r>
        <w:rPr>
          <w:sz w:val="24"/>
          <w:szCs w:val="24"/>
        </w:rPr>
        <w:t xml:space="preserve"> av 2005 § 9</w:t>
      </w:r>
      <w:r w:rsidR="00630807">
        <w:rPr>
          <w:sz w:val="24"/>
          <w:szCs w:val="24"/>
        </w:rPr>
        <w:t>.1 slår</w:t>
      </w:r>
      <w:r w:rsidR="003D12F5">
        <w:rPr>
          <w:sz w:val="24"/>
          <w:szCs w:val="24"/>
        </w:rPr>
        <w:t xml:space="preserve"> også denne fast. </w:t>
      </w:r>
      <w:r w:rsidR="00630807">
        <w:rPr>
          <w:sz w:val="24"/>
          <w:szCs w:val="24"/>
        </w:rPr>
        <w:t xml:space="preserve">Forventingane rundt institusjonanes regionale posisjon i samfunnet generelt er imidlertid primært knytt til pliktsidene av lovverket. </w:t>
      </w:r>
    </w:p>
    <w:p w14:paraId="72E3D349" w14:textId="4C6F6B14" w:rsidR="009F3A08" w:rsidRDefault="009D1685" w:rsidP="009F3A08">
      <w:pPr>
        <w:rPr>
          <w:sz w:val="24"/>
          <w:szCs w:val="24"/>
        </w:rPr>
      </w:pPr>
      <w:r>
        <w:rPr>
          <w:sz w:val="24"/>
          <w:szCs w:val="24"/>
        </w:rPr>
        <w:lastRenderedPageBreak/>
        <w:t xml:space="preserve">Dei </w:t>
      </w:r>
      <w:r w:rsidR="009F3A08">
        <w:rPr>
          <w:sz w:val="24"/>
          <w:szCs w:val="24"/>
        </w:rPr>
        <w:t xml:space="preserve">allmenne </w:t>
      </w:r>
      <w:r w:rsidR="00467396">
        <w:rPr>
          <w:sz w:val="24"/>
          <w:szCs w:val="24"/>
        </w:rPr>
        <w:t>samfunns</w:t>
      </w:r>
      <w:r w:rsidR="009F3A08">
        <w:rPr>
          <w:sz w:val="24"/>
          <w:szCs w:val="24"/>
        </w:rPr>
        <w:t xml:space="preserve">pliktene til universiteta og høgskolane </w:t>
      </w:r>
      <w:r w:rsidR="00467396">
        <w:rPr>
          <w:sz w:val="24"/>
          <w:szCs w:val="24"/>
        </w:rPr>
        <w:t xml:space="preserve">er nedfelt </w:t>
      </w:r>
      <w:r w:rsidR="009F3A08">
        <w:rPr>
          <w:sz w:val="24"/>
          <w:szCs w:val="24"/>
        </w:rPr>
        <w:t>i UH-lova § 1-3 om «institusjonenes virksomhet». Paragrafen inneheld ni punkt som på ulike måtar forpliktar universiteta og høgko</w:t>
      </w:r>
      <w:r>
        <w:rPr>
          <w:sz w:val="24"/>
          <w:szCs w:val="24"/>
        </w:rPr>
        <w:t xml:space="preserve">lane, der </w:t>
      </w:r>
      <w:r w:rsidR="009F3A08">
        <w:rPr>
          <w:sz w:val="24"/>
          <w:szCs w:val="24"/>
        </w:rPr>
        <w:t>a, b, c, h og i  reknar opp det institusjonane skal gjera. Og at det er berre i (i) det står n</w:t>
      </w:r>
      <w:r w:rsidR="00467396">
        <w:rPr>
          <w:sz w:val="24"/>
          <w:szCs w:val="24"/>
        </w:rPr>
        <w:t xml:space="preserve">oko om det regionale, der det </w:t>
      </w:r>
      <w:r w:rsidR="0087462A">
        <w:rPr>
          <w:sz w:val="24"/>
          <w:szCs w:val="24"/>
        </w:rPr>
        <w:t xml:space="preserve"> heiter </w:t>
      </w:r>
      <w:r w:rsidR="009F3A08">
        <w:rPr>
          <w:sz w:val="24"/>
          <w:szCs w:val="24"/>
        </w:rPr>
        <w:t xml:space="preserve">at universitet og høgskolar </w:t>
      </w:r>
      <w:r w:rsidR="009F3A08" w:rsidRPr="00467396">
        <w:rPr>
          <w:i/>
          <w:sz w:val="24"/>
          <w:szCs w:val="24"/>
        </w:rPr>
        <w:t>skal</w:t>
      </w:r>
      <w:r w:rsidR="009F3A08">
        <w:rPr>
          <w:sz w:val="24"/>
          <w:szCs w:val="24"/>
        </w:rPr>
        <w:t xml:space="preserve"> samarbeida med «</w:t>
      </w:r>
      <w:r w:rsidR="009F3A08" w:rsidRPr="00D2666C">
        <w:rPr>
          <w:i/>
          <w:sz w:val="24"/>
          <w:szCs w:val="24"/>
        </w:rPr>
        <w:t>lokalt og regionalt samfunns – og arbeidsliv</w:t>
      </w:r>
      <w:r w:rsidR="009F3A08">
        <w:rPr>
          <w:sz w:val="24"/>
          <w:szCs w:val="24"/>
        </w:rPr>
        <w:t>»</w:t>
      </w:r>
      <w:r w:rsidR="009F3A08">
        <w:rPr>
          <w:rStyle w:val="Fotnotereferanse"/>
          <w:sz w:val="24"/>
          <w:szCs w:val="24"/>
        </w:rPr>
        <w:footnoteReference w:id="3"/>
      </w:r>
      <w:r w:rsidR="009F3A08">
        <w:rPr>
          <w:sz w:val="24"/>
          <w:szCs w:val="24"/>
        </w:rPr>
        <w:t>. I kommentarane legg Bernt til lokal og regional «</w:t>
      </w:r>
      <w:r w:rsidR="009F3A08" w:rsidRPr="00D2666C">
        <w:rPr>
          <w:i/>
          <w:sz w:val="24"/>
          <w:szCs w:val="24"/>
        </w:rPr>
        <w:t>nettverksbygging</w:t>
      </w:r>
      <w:r w:rsidR="009F3A08">
        <w:rPr>
          <w:sz w:val="24"/>
          <w:szCs w:val="24"/>
        </w:rPr>
        <w:t>»</w:t>
      </w:r>
      <w:r w:rsidR="009F3A08">
        <w:rPr>
          <w:rStyle w:val="Fotnotereferanse"/>
          <w:sz w:val="24"/>
          <w:szCs w:val="24"/>
        </w:rPr>
        <w:footnoteReference w:id="4"/>
      </w:r>
      <w:r w:rsidR="009F3A08">
        <w:rPr>
          <w:sz w:val="24"/>
          <w:szCs w:val="24"/>
        </w:rPr>
        <w:t xml:space="preserve"> . Dette har handla om påleggja institusjonane eit samarbeid som går utover det samarbeidet som er rundt praksis</w:t>
      </w:r>
      <w:r w:rsidR="00467396">
        <w:rPr>
          <w:sz w:val="24"/>
          <w:szCs w:val="24"/>
        </w:rPr>
        <w:t xml:space="preserve"> og </w:t>
      </w:r>
      <w:r w:rsidR="009F3A08">
        <w:rPr>
          <w:sz w:val="24"/>
          <w:szCs w:val="24"/>
        </w:rPr>
        <w:t xml:space="preserve"> kandidatfordeling</w:t>
      </w:r>
      <w:r w:rsidR="00467396">
        <w:rPr>
          <w:sz w:val="24"/>
          <w:szCs w:val="24"/>
        </w:rPr>
        <w:t>. Samarbeidet</w:t>
      </w:r>
      <w:r w:rsidR="009F3A08">
        <w:rPr>
          <w:sz w:val="24"/>
          <w:szCs w:val="24"/>
        </w:rPr>
        <w:t xml:space="preserve"> </w:t>
      </w:r>
      <w:r w:rsidR="00467396">
        <w:rPr>
          <w:sz w:val="24"/>
          <w:szCs w:val="24"/>
        </w:rPr>
        <w:t xml:space="preserve">er </w:t>
      </w:r>
      <w:r w:rsidR="009F3A08">
        <w:rPr>
          <w:sz w:val="24"/>
          <w:szCs w:val="24"/>
        </w:rPr>
        <w:t>organisert gjennom Råda for Samarbeid med arbeids</w:t>
      </w:r>
      <w:r w:rsidR="00467396">
        <w:rPr>
          <w:sz w:val="24"/>
          <w:szCs w:val="24"/>
        </w:rPr>
        <w:t>livet (RSA) som vart etablert</w:t>
      </w:r>
      <w:r w:rsidR="009F3A08">
        <w:rPr>
          <w:sz w:val="24"/>
          <w:szCs w:val="24"/>
        </w:rPr>
        <w:t xml:space="preserve"> 2013.  </w:t>
      </w:r>
    </w:p>
    <w:p w14:paraId="292D9002" w14:textId="7B7F330E" w:rsidR="009F3A08" w:rsidRDefault="00467396" w:rsidP="00467396">
      <w:pPr>
        <w:rPr>
          <w:sz w:val="24"/>
          <w:szCs w:val="24"/>
        </w:rPr>
      </w:pPr>
      <w:r>
        <w:rPr>
          <w:sz w:val="24"/>
          <w:szCs w:val="24"/>
        </w:rPr>
        <w:t xml:space="preserve">D, e, f, g er </w:t>
      </w:r>
      <w:r w:rsidR="009F3A08">
        <w:rPr>
          <w:sz w:val="24"/>
          <w:szCs w:val="24"/>
        </w:rPr>
        <w:t xml:space="preserve">nærliggjande å sjå på som uttrykk for forventningar </w:t>
      </w:r>
      <w:r w:rsidR="009D1685">
        <w:rPr>
          <w:sz w:val="24"/>
          <w:szCs w:val="24"/>
        </w:rPr>
        <w:t xml:space="preserve">meir </w:t>
      </w:r>
      <w:r w:rsidR="009F3A08">
        <w:rPr>
          <w:sz w:val="24"/>
          <w:szCs w:val="24"/>
        </w:rPr>
        <w:t xml:space="preserve">enn som </w:t>
      </w:r>
      <w:r w:rsidR="003D12F5">
        <w:rPr>
          <w:sz w:val="24"/>
          <w:szCs w:val="24"/>
        </w:rPr>
        <w:t>plikter</w:t>
      </w:r>
      <w:r w:rsidR="009F3A08">
        <w:rPr>
          <w:sz w:val="24"/>
          <w:szCs w:val="24"/>
        </w:rPr>
        <w:t>. Her skal institusjonane medverka (d, e, g</w:t>
      </w:r>
      <w:r w:rsidR="00394BF5">
        <w:rPr>
          <w:sz w:val="24"/>
          <w:szCs w:val="24"/>
        </w:rPr>
        <w:t>)</w:t>
      </w:r>
      <w:r w:rsidR="009F3A08">
        <w:rPr>
          <w:sz w:val="24"/>
          <w:szCs w:val="24"/>
        </w:rPr>
        <w:t xml:space="preserve"> eller leggja til rette for </w:t>
      </w:r>
      <w:r w:rsidR="00394BF5">
        <w:rPr>
          <w:sz w:val="24"/>
          <w:szCs w:val="24"/>
        </w:rPr>
        <w:t>(</w:t>
      </w:r>
      <w:r w:rsidR="009F3A08">
        <w:rPr>
          <w:sz w:val="24"/>
          <w:szCs w:val="24"/>
        </w:rPr>
        <w:t>f</w:t>
      </w:r>
      <w:r w:rsidR="00394BF5">
        <w:rPr>
          <w:sz w:val="24"/>
          <w:szCs w:val="24"/>
        </w:rPr>
        <w:t>)</w:t>
      </w:r>
      <w:r w:rsidR="009F3A08">
        <w:rPr>
          <w:sz w:val="24"/>
          <w:szCs w:val="24"/>
        </w:rPr>
        <w:t>. Den regionale posisjonen nemnes ikkje her.</w:t>
      </w:r>
      <w:r>
        <w:rPr>
          <w:sz w:val="24"/>
          <w:szCs w:val="24"/>
        </w:rPr>
        <w:t xml:space="preserve">  Det gjer den derimot i  </w:t>
      </w:r>
      <w:r w:rsidR="009D1685">
        <w:rPr>
          <w:sz w:val="24"/>
          <w:szCs w:val="24"/>
        </w:rPr>
        <w:t xml:space="preserve">politiske dokument som i </w:t>
      </w:r>
      <w:r>
        <w:rPr>
          <w:sz w:val="24"/>
          <w:szCs w:val="24"/>
        </w:rPr>
        <w:t xml:space="preserve">stortingsmeldinga om regionreformen </w:t>
      </w:r>
      <w:r w:rsidR="0062321C">
        <w:rPr>
          <w:sz w:val="24"/>
          <w:szCs w:val="24"/>
        </w:rPr>
        <w:t xml:space="preserve">der det står </w:t>
      </w:r>
      <w:r>
        <w:rPr>
          <w:sz w:val="24"/>
          <w:szCs w:val="24"/>
        </w:rPr>
        <w:t>at «i</w:t>
      </w:r>
      <w:r w:rsidRPr="00A33611">
        <w:rPr>
          <w:sz w:val="24"/>
          <w:szCs w:val="24"/>
        </w:rPr>
        <w:t xml:space="preserve"> styringsdialogen med universitets – og høyskolesektoren vil det </w:t>
      </w:r>
      <w:r w:rsidR="00647C87">
        <w:rPr>
          <w:sz w:val="24"/>
          <w:szCs w:val="24"/>
        </w:rPr>
        <w:t>formidles</w:t>
      </w:r>
      <w:r w:rsidRPr="00A33611">
        <w:rPr>
          <w:sz w:val="24"/>
          <w:szCs w:val="24"/>
        </w:rPr>
        <w:t xml:space="preserve"> klare </w:t>
      </w:r>
      <w:r w:rsidRPr="00AE08EF">
        <w:rPr>
          <w:i/>
          <w:sz w:val="24"/>
          <w:szCs w:val="24"/>
        </w:rPr>
        <w:t>forventninger</w:t>
      </w:r>
      <w:r w:rsidRPr="00A33611">
        <w:rPr>
          <w:sz w:val="24"/>
          <w:szCs w:val="24"/>
        </w:rPr>
        <w:t xml:space="preserve"> </w:t>
      </w:r>
      <w:r>
        <w:rPr>
          <w:sz w:val="24"/>
          <w:szCs w:val="24"/>
        </w:rPr>
        <w:t xml:space="preserve">(mi utheving) </w:t>
      </w:r>
      <w:r w:rsidRPr="00A33611">
        <w:rPr>
          <w:sz w:val="24"/>
          <w:szCs w:val="24"/>
        </w:rPr>
        <w:t>om at sektoren deltar i utformingen av regionale kompetanseplaner i tråd med vedtatte nasjonale forventninger til regional planlegging»</w:t>
      </w:r>
      <w:r>
        <w:rPr>
          <w:rStyle w:val="Fotnotereferanse"/>
          <w:sz w:val="24"/>
          <w:szCs w:val="24"/>
        </w:rPr>
        <w:footnoteReference w:id="5"/>
      </w:r>
      <w:r>
        <w:rPr>
          <w:sz w:val="24"/>
          <w:szCs w:val="24"/>
        </w:rPr>
        <w:t>.</w:t>
      </w:r>
      <w:r w:rsidR="0062321C">
        <w:rPr>
          <w:sz w:val="24"/>
          <w:szCs w:val="24"/>
        </w:rPr>
        <w:t xml:space="preserve"> Notatet drøftar mulege implikasjonar av institusjonanes deltaking i slike prosessar. </w:t>
      </w:r>
    </w:p>
    <w:p w14:paraId="4CA2FFCF" w14:textId="65156658" w:rsidR="0062321C" w:rsidRDefault="00476233" w:rsidP="0062321C">
      <w:pPr>
        <w:rPr>
          <w:sz w:val="24"/>
          <w:szCs w:val="24"/>
        </w:rPr>
      </w:pPr>
      <w:r>
        <w:rPr>
          <w:sz w:val="24"/>
          <w:szCs w:val="24"/>
        </w:rPr>
        <w:t>UH-lova s</w:t>
      </w:r>
      <w:r w:rsidRPr="00476233">
        <w:rPr>
          <w:sz w:val="24"/>
          <w:szCs w:val="24"/>
        </w:rPr>
        <w:t>kil ikkje mellom høgsko</w:t>
      </w:r>
      <w:r>
        <w:rPr>
          <w:sz w:val="24"/>
          <w:szCs w:val="24"/>
        </w:rPr>
        <w:t>lar og universitet</w:t>
      </w:r>
      <w:r w:rsidR="006D7E66">
        <w:rPr>
          <w:sz w:val="24"/>
          <w:szCs w:val="24"/>
        </w:rPr>
        <w:t xml:space="preserve"> i</w:t>
      </w:r>
      <w:r>
        <w:rPr>
          <w:sz w:val="24"/>
          <w:szCs w:val="24"/>
        </w:rPr>
        <w:t xml:space="preserve"> §</w:t>
      </w:r>
      <w:r w:rsidR="00607796">
        <w:rPr>
          <w:sz w:val="24"/>
          <w:szCs w:val="24"/>
        </w:rPr>
        <w:t>1-</w:t>
      </w:r>
      <w:r>
        <w:rPr>
          <w:sz w:val="24"/>
          <w:szCs w:val="24"/>
        </w:rPr>
        <w:t xml:space="preserve"> 2. Det betyr at</w:t>
      </w:r>
      <w:r w:rsidR="009D1685">
        <w:rPr>
          <w:sz w:val="24"/>
          <w:szCs w:val="24"/>
        </w:rPr>
        <w:t xml:space="preserve"> spesifikke høgskolemandat</w:t>
      </w:r>
      <w:r w:rsidRPr="00476233">
        <w:rPr>
          <w:sz w:val="24"/>
          <w:szCs w:val="24"/>
        </w:rPr>
        <w:t xml:space="preserve"> som svært ofte blir drege fram i debattar</w:t>
      </w:r>
      <w:r w:rsidR="006D7E66">
        <w:rPr>
          <w:sz w:val="24"/>
          <w:szCs w:val="24"/>
        </w:rPr>
        <w:t>,</w:t>
      </w:r>
      <w:r w:rsidRPr="00476233">
        <w:rPr>
          <w:sz w:val="24"/>
          <w:szCs w:val="24"/>
        </w:rPr>
        <w:t xml:space="preserve"> </w:t>
      </w:r>
      <w:r>
        <w:rPr>
          <w:sz w:val="24"/>
          <w:szCs w:val="24"/>
        </w:rPr>
        <w:t>ikkje har eit grunnlag i UH-lova</w:t>
      </w:r>
      <w:r>
        <w:rPr>
          <w:rStyle w:val="Fotnotereferanse"/>
          <w:sz w:val="24"/>
          <w:szCs w:val="24"/>
        </w:rPr>
        <w:footnoteReference w:id="6"/>
      </w:r>
      <w:r>
        <w:rPr>
          <w:sz w:val="24"/>
          <w:szCs w:val="24"/>
        </w:rPr>
        <w:t xml:space="preserve">.  Notatet vil </w:t>
      </w:r>
      <w:r w:rsidR="00B842FE">
        <w:rPr>
          <w:sz w:val="24"/>
          <w:szCs w:val="24"/>
        </w:rPr>
        <w:t xml:space="preserve">visa at </w:t>
      </w:r>
      <w:r w:rsidR="00750972">
        <w:rPr>
          <w:sz w:val="24"/>
          <w:szCs w:val="24"/>
        </w:rPr>
        <w:t xml:space="preserve">det </w:t>
      </w:r>
      <w:r w:rsidR="00E90172">
        <w:rPr>
          <w:sz w:val="24"/>
          <w:szCs w:val="24"/>
        </w:rPr>
        <w:t>likevel va</w:t>
      </w:r>
      <w:r w:rsidR="00B842FE">
        <w:rPr>
          <w:sz w:val="24"/>
          <w:szCs w:val="24"/>
        </w:rPr>
        <w:t>r</w:t>
      </w:r>
      <w:r w:rsidR="003314E8">
        <w:rPr>
          <w:sz w:val="24"/>
          <w:szCs w:val="24"/>
        </w:rPr>
        <w:t xml:space="preserve"> </w:t>
      </w:r>
      <w:r>
        <w:rPr>
          <w:sz w:val="24"/>
          <w:szCs w:val="24"/>
        </w:rPr>
        <w:t xml:space="preserve">særlege substansielle regionale forankringar </w:t>
      </w:r>
      <w:r w:rsidR="00B842FE">
        <w:rPr>
          <w:sz w:val="24"/>
          <w:szCs w:val="24"/>
        </w:rPr>
        <w:t xml:space="preserve">rundt rekruttering og geografisk fordeling av kandidatar </w:t>
      </w:r>
      <w:r w:rsidR="00693928">
        <w:rPr>
          <w:sz w:val="24"/>
          <w:szCs w:val="24"/>
        </w:rPr>
        <w:t xml:space="preserve">ved </w:t>
      </w:r>
      <w:r>
        <w:rPr>
          <w:sz w:val="24"/>
          <w:szCs w:val="24"/>
        </w:rPr>
        <w:t>tidlegare høgskolar</w:t>
      </w:r>
      <w:r w:rsidR="0062321C">
        <w:rPr>
          <w:sz w:val="24"/>
          <w:szCs w:val="24"/>
        </w:rPr>
        <w:t xml:space="preserve">. </w:t>
      </w:r>
      <w:r w:rsidR="00607796">
        <w:rPr>
          <w:sz w:val="24"/>
          <w:szCs w:val="24"/>
        </w:rPr>
        <w:t xml:space="preserve">Å ta vare på og utvikla desse </w:t>
      </w:r>
      <w:r w:rsidR="0062321C">
        <w:rPr>
          <w:sz w:val="24"/>
          <w:szCs w:val="24"/>
        </w:rPr>
        <w:t xml:space="preserve">mønstera er </w:t>
      </w:r>
      <w:r w:rsidR="00607796">
        <w:rPr>
          <w:sz w:val="24"/>
          <w:szCs w:val="24"/>
        </w:rPr>
        <w:t xml:space="preserve">etter strukturreformen lagt til </w:t>
      </w:r>
      <w:r w:rsidR="0062321C">
        <w:rPr>
          <w:sz w:val="24"/>
          <w:szCs w:val="24"/>
        </w:rPr>
        <w:t xml:space="preserve">større institusjonar, der mange av dei de facto har fått eit utvida samfunnsmandat.  </w:t>
      </w:r>
      <w:r w:rsidR="00693928">
        <w:rPr>
          <w:sz w:val="24"/>
          <w:szCs w:val="24"/>
        </w:rPr>
        <w:t xml:space="preserve">Rammene om notatet er likevel primært </w:t>
      </w:r>
      <w:r w:rsidR="0062321C">
        <w:rPr>
          <w:sz w:val="24"/>
          <w:szCs w:val="24"/>
        </w:rPr>
        <w:t xml:space="preserve">framtida, t.d. slik det gjerne blir omtalt </w:t>
      </w:r>
      <w:r w:rsidR="00E27454">
        <w:rPr>
          <w:sz w:val="24"/>
          <w:szCs w:val="24"/>
        </w:rPr>
        <w:t xml:space="preserve">i beskrivelsar av </w:t>
      </w:r>
      <w:r w:rsidR="0062321C">
        <w:rPr>
          <w:sz w:val="24"/>
          <w:szCs w:val="24"/>
        </w:rPr>
        <w:t xml:space="preserve">universiteta i det 21 ste </w:t>
      </w:r>
      <w:r w:rsidR="00647C87">
        <w:rPr>
          <w:sz w:val="24"/>
          <w:szCs w:val="24"/>
        </w:rPr>
        <w:t>år hundret</w:t>
      </w:r>
      <w:r w:rsidR="00E27454">
        <w:rPr>
          <w:sz w:val="24"/>
          <w:szCs w:val="24"/>
        </w:rPr>
        <w:t xml:space="preserve">. Der det er sentralt </w:t>
      </w:r>
      <w:r w:rsidR="0062321C">
        <w:rPr>
          <w:sz w:val="24"/>
          <w:szCs w:val="24"/>
        </w:rPr>
        <w:t xml:space="preserve">at dei </w:t>
      </w:r>
      <w:r w:rsidR="0062321C">
        <w:rPr>
          <w:rFonts w:eastAsia="Times New Roman" w:cstheme="minorHAnsi"/>
          <w:sz w:val="24"/>
          <w:szCs w:val="24"/>
        </w:rPr>
        <w:t>i større grad enn f</w:t>
      </w:r>
      <w:r w:rsidR="00E27454">
        <w:rPr>
          <w:rFonts w:eastAsia="Times New Roman" w:cstheme="minorHAnsi"/>
          <w:sz w:val="24"/>
          <w:szCs w:val="24"/>
        </w:rPr>
        <w:t xml:space="preserve">ør må tilpassa seg auka </w:t>
      </w:r>
      <w:r w:rsidR="0062321C">
        <w:rPr>
          <w:rFonts w:eastAsia="Times New Roman" w:cstheme="minorHAnsi"/>
          <w:sz w:val="24"/>
          <w:szCs w:val="24"/>
        </w:rPr>
        <w:t>differensiering  i rekruttering av studentar både med omsyn til sosial – og geografisk bakgrunn og livsfase</w:t>
      </w:r>
      <w:r w:rsidR="0062321C">
        <w:rPr>
          <w:rStyle w:val="Fotnotereferanse"/>
          <w:rFonts w:eastAsia="Times New Roman" w:cstheme="minorHAnsi"/>
          <w:sz w:val="24"/>
          <w:szCs w:val="24"/>
        </w:rPr>
        <w:footnoteReference w:id="7"/>
      </w:r>
      <w:r w:rsidR="0062321C">
        <w:rPr>
          <w:rFonts w:eastAsia="Times New Roman" w:cstheme="minorHAnsi"/>
          <w:sz w:val="24"/>
          <w:szCs w:val="24"/>
        </w:rPr>
        <w:t xml:space="preserve">. </w:t>
      </w:r>
      <w:r w:rsidR="0062321C">
        <w:rPr>
          <w:sz w:val="24"/>
          <w:szCs w:val="24"/>
        </w:rPr>
        <w:t xml:space="preserve"> </w:t>
      </w:r>
    </w:p>
    <w:p w14:paraId="3A25B350" w14:textId="77777777" w:rsidR="00EB262E" w:rsidRDefault="00750972" w:rsidP="00361948">
      <w:pPr>
        <w:rPr>
          <w:sz w:val="24"/>
          <w:szCs w:val="24"/>
        </w:rPr>
      </w:pPr>
      <w:r>
        <w:rPr>
          <w:sz w:val="24"/>
          <w:szCs w:val="24"/>
        </w:rPr>
        <w:t xml:space="preserve">UH-lova </w:t>
      </w:r>
      <w:r w:rsidR="002275AA">
        <w:rPr>
          <w:sz w:val="24"/>
          <w:szCs w:val="24"/>
        </w:rPr>
        <w:t>§ 2-1 om NOKUTs oppgåver og mynde</w:t>
      </w:r>
      <w:r w:rsidR="003314E8">
        <w:rPr>
          <w:sz w:val="24"/>
          <w:szCs w:val="24"/>
        </w:rPr>
        <w:t>,</w:t>
      </w:r>
      <w:r w:rsidR="002275AA">
        <w:rPr>
          <w:sz w:val="24"/>
          <w:szCs w:val="24"/>
        </w:rPr>
        <w:t xml:space="preserve"> og også institusjonanes eigne ansvar for evaluering av kvalitet i utdanningane</w:t>
      </w:r>
      <w:r w:rsidR="003314E8">
        <w:rPr>
          <w:sz w:val="24"/>
          <w:szCs w:val="24"/>
        </w:rPr>
        <w:t>,</w:t>
      </w:r>
      <w:r w:rsidR="002275AA">
        <w:rPr>
          <w:sz w:val="24"/>
          <w:szCs w:val="24"/>
        </w:rPr>
        <w:t xml:space="preserve"> inkluderer ikkje tilgjenge til studieprogram i dei faglege kvalitetsvurderingane av institusjonar og studieprogram.</w:t>
      </w:r>
    </w:p>
    <w:p w14:paraId="535CCEEA" w14:textId="2703B815" w:rsidR="003A530A" w:rsidRDefault="00A22A50" w:rsidP="00361948">
      <w:pPr>
        <w:rPr>
          <w:sz w:val="24"/>
          <w:szCs w:val="24"/>
        </w:rPr>
      </w:pPr>
      <w:r>
        <w:rPr>
          <w:sz w:val="24"/>
          <w:szCs w:val="24"/>
        </w:rPr>
        <w:t xml:space="preserve">UH-lova </w:t>
      </w:r>
      <w:r w:rsidR="003A530A">
        <w:rPr>
          <w:sz w:val="24"/>
          <w:szCs w:val="24"/>
        </w:rPr>
        <w:t>§</w:t>
      </w:r>
      <w:r>
        <w:rPr>
          <w:sz w:val="24"/>
          <w:szCs w:val="24"/>
        </w:rPr>
        <w:t xml:space="preserve"> </w:t>
      </w:r>
      <w:r w:rsidR="003A530A">
        <w:rPr>
          <w:sz w:val="24"/>
          <w:szCs w:val="24"/>
        </w:rPr>
        <w:t xml:space="preserve">1-5-1 Akademisk fridom, vernar universiteta og høgskolane frå pålegg og instruksar om innhald i undervising og forsking, men omhandlar ikkje føringar som ikkje </w:t>
      </w:r>
      <w:r w:rsidR="0018191D">
        <w:rPr>
          <w:sz w:val="24"/>
          <w:szCs w:val="24"/>
        </w:rPr>
        <w:t>er del av tradisjonelle direkte styringslinjer.</w:t>
      </w:r>
    </w:p>
    <w:p w14:paraId="6E5626B1" w14:textId="77777777" w:rsidR="00E27454" w:rsidRDefault="00E27454" w:rsidP="00493502">
      <w:pPr>
        <w:rPr>
          <w:sz w:val="32"/>
          <w:szCs w:val="32"/>
        </w:rPr>
      </w:pPr>
    </w:p>
    <w:p w14:paraId="41444383" w14:textId="0E51AC92" w:rsidR="000E36DF" w:rsidRPr="00FC64F1" w:rsidRDefault="000E36DF" w:rsidP="00493502">
      <w:pPr>
        <w:rPr>
          <w:sz w:val="32"/>
          <w:szCs w:val="32"/>
        </w:rPr>
      </w:pPr>
      <w:r w:rsidRPr="00FC64F1">
        <w:rPr>
          <w:sz w:val="32"/>
          <w:szCs w:val="32"/>
        </w:rPr>
        <w:t>Utviklingsperspektivet – kvifor er regionane viktige?</w:t>
      </w:r>
    </w:p>
    <w:p w14:paraId="2FEAE642" w14:textId="11BDEB07" w:rsidR="00EA5D94" w:rsidRPr="00802983" w:rsidRDefault="00EA5D94" w:rsidP="00EA5D94">
      <w:pPr>
        <w:rPr>
          <w:sz w:val="24"/>
          <w:szCs w:val="24"/>
        </w:rPr>
      </w:pPr>
      <w:r>
        <w:rPr>
          <w:sz w:val="24"/>
          <w:szCs w:val="24"/>
        </w:rPr>
        <w:lastRenderedPageBreak/>
        <w:t>Når notatet tek opp dette temaet, er det ikkje berre fordi rekrutteringa til univer</w:t>
      </w:r>
      <w:r w:rsidR="00E27454">
        <w:rPr>
          <w:sz w:val="24"/>
          <w:szCs w:val="24"/>
        </w:rPr>
        <w:t>sitet og høgskolar er slik den va</w:t>
      </w:r>
      <w:r>
        <w:rPr>
          <w:sz w:val="24"/>
          <w:szCs w:val="24"/>
        </w:rPr>
        <w:t xml:space="preserve">r omtalt i Aftenposten </w:t>
      </w:r>
      <w:r w:rsidR="00E27454">
        <w:rPr>
          <w:sz w:val="24"/>
          <w:szCs w:val="24"/>
        </w:rPr>
        <w:t xml:space="preserve">i 2011 </w:t>
      </w:r>
      <w:r>
        <w:rPr>
          <w:sz w:val="24"/>
          <w:szCs w:val="24"/>
        </w:rPr>
        <w:t xml:space="preserve">og at dette reiser spørsmål med relevans også for UH-lova.  Men også fordi denne regionale forankringa er viktig i for utviklinga ikkje berre i dei enkelte regionane, men også i </w:t>
      </w:r>
      <w:r w:rsidR="00E27454">
        <w:rPr>
          <w:sz w:val="24"/>
          <w:szCs w:val="24"/>
        </w:rPr>
        <w:t>ein nasjon</w:t>
      </w:r>
      <w:r>
        <w:rPr>
          <w:sz w:val="24"/>
          <w:szCs w:val="24"/>
        </w:rPr>
        <w:t>.</w:t>
      </w:r>
      <w:r w:rsidR="00E27454">
        <w:rPr>
          <w:sz w:val="24"/>
          <w:szCs w:val="24"/>
        </w:rPr>
        <w:t xml:space="preserve"> U</w:t>
      </w:r>
      <w:r>
        <w:rPr>
          <w:sz w:val="24"/>
          <w:szCs w:val="24"/>
        </w:rPr>
        <w:t xml:space="preserve">tvikling i eit land, er ein sum av utviklingsprosessar skapt og implementert gjennom samhandling innafor undernasjonale </w:t>
      </w:r>
      <w:r w:rsidRPr="00802983">
        <w:rPr>
          <w:sz w:val="24"/>
          <w:szCs w:val="24"/>
        </w:rPr>
        <w:t xml:space="preserve">geografisk avgrensa område. </w:t>
      </w:r>
      <w:r>
        <w:rPr>
          <w:sz w:val="24"/>
          <w:szCs w:val="24"/>
        </w:rPr>
        <w:t xml:space="preserve">Utvikling handlar </w:t>
      </w:r>
      <w:r w:rsidR="00E27454">
        <w:rPr>
          <w:sz w:val="24"/>
          <w:szCs w:val="24"/>
        </w:rPr>
        <w:t xml:space="preserve">oftast </w:t>
      </w:r>
      <w:r>
        <w:rPr>
          <w:sz w:val="24"/>
          <w:szCs w:val="24"/>
        </w:rPr>
        <w:t xml:space="preserve">om </w:t>
      </w:r>
      <w:r w:rsidRPr="00802983">
        <w:rPr>
          <w:sz w:val="24"/>
          <w:szCs w:val="24"/>
        </w:rPr>
        <w:t xml:space="preserve">kva  arbeidsplassar som veks, </w:t>
      </w:r>
      <w:r w:rsidR="008B30E6">
        <w:rPr>
          <w:sz w:val="24"/>
          <w:szCs w:val="24"/>
        </w:rPr>
        <w:t xml:space="preserve">og at dette er </w:t>
      </w:r>
      <w:r w:rsidRPr="00802983">
        <w:rPr>
          <w:sz w:val="24"/>
          <w:szCs w:val="24"/>
        </w:rPr>
        <w:t>be</w:t>
      </w:r>
      <w:r w:rsidR="00E27454">
        <w:rPr>
          <w:sz w:val="24"/>
          <w:szCs w:val="24"/>
        </w:rPr>
        <w:t xml:space="preserve">tinga av kva for arbeidskraft </w:t>
      </w:r>
      <w:r>
        <w:rPr>
          <w:sz w:val="24"/>
          <w:szCs w:val="24"/>
        </w:rPr>
        <w:t xml:space="preserve">det er </w:t>
      </w:r>
      <w:r w:rsidRPr="00802983">
        <w:rPr>
          <w:sz w:val="24"/>
          <w:szCs w:val="24"/>
        </w:rPr>
        <w:t>tilgang på.</w:t>
      </w:r>
      <w:r>
        <w:rPr>
          <w:sz w:val="24"/>
          <w:szCs w:val="24"/>
        </w:rPr>
        <w:t xml:space="preserve"> </w:t>
      </w:r>
    </w:p>
    <w:p w14:paraId="6190443F" w14:textId="39E750E1" w:rsidR="00EA5D94" w:rsidRDefault="00E27454" w:rsidP="00EA5D94">
      <w:pPr>
        <w:rPr>
          <w:sz w:val="24"/>
          <w:szCs w:val="24"/>
        </w:rPr>
      </w:pPr>
      <w:r>
        <w:rPr>
          <w:sz w:val="24"/>
          <w:szCs w:val="24"/>
        </w:rPr>
        <w:t xml:space="preserve">Utvikling </w:t>
      </w:r>
      <w:r w:rsidR="00EA5D94">
        <w:rPr>
          <w:sz w:val="24"/>
          <w:szCs w:val="24"/>
        </w:rPr>
        <w:t xml:space="preserve">kan </w:t>
      </w:r>
      <w:r w:rsidR="008B30E6">
        <w:rPr>
          <w:sz w:val="24"/>
          <w:szCs w:val="24"/>
        </w:rPr>
        <w:t xml:space="preserve">i dette perspektivet </w:t>
      </w:r>
      <w:r w:rsidR="00EA5D94">
        <w:rPr>
          <w:sz w:val="24"/>
          <w:szCs w:val="24"/>
        </w:rPr>
        <w:t>skapast gjennom at aktørar uta</w:t>
      </w:r>
      <w:r w:rsidR="00EA5D94" w:rsidRPr="00802983">
        <w:rPr>
          <w:sz w:val="24"/>
          <w:szCs w:val="24"/>
        </w:rPr>
        <w:t xml:space="preserve">nfor </w:t>
      </w:r>
      <w:r>
        <w:rPr>
          <w:sz w:val="24"/>
          <w:szCs w:val="24"/>
        </w:rPr>
        <w:t>ein region</w:t>
      </w:r>
      <w:r w:rsidR="00EA5D94" w:rsidRPr="00802983">
        <w:rPr>
          <w:sz w:val="24"/>
          <w:szCs w:val="24"/>
        </w:rPr>
        <w:t xml:space="preserve"> </w:t>
      </w:r>
      <w:r w:rsidR="00EA5D94">
        <w:rPr>
          <w:sz w:val="24"/>
          <w:szCs w:val="24"/>
        </w:rPr>
        <w:t>v</w:t>
      </w:r>
      <w:r w:rsidR="00EA5D94" w:rsidRPr="00802983">
        <w:rPr>
          <w:sz w:val="24"/>
          <w:szCs w:val="24"/>
        </w:rPr>
        <w:t>il investera for å få tak i</w:t>
      </w:r>
      <w:r w:rsidR="00EA5D94">
        <w:rPr>
          <w:sz w:val="24"/>
          <w:szCs w:val="24"/>
        </w:rPr>
        <w:t xml:space="preserve"> </w:t>
      </w:r>
      <w:r w:rsidR="00EA5D94" w:rsidRPr="00802983">
        <w:rPr>
          <w:sz w:val="24"/>
          <w:szCs w:val="24"/>
        </w:rPr>
        <w:t>spesiell kunnskap, teknologi og natur</w:t>
      </w:r>
      <w:r w:rsidR="00EA5D94">
        <w:rPr>
          <w:sz w:val="24"/>
          <w:szCs w:val="24"/>
        </w:rPr>
        <w:t>ressursa</w:t>
      </w:r>
      <w:r w:rsidR="00EA5D94" w:rsidRPr="00802983">
        <w:rPr>
          <w:sz w:val="24"/>
          <w:szCs w:val="24"/>
        </w:rPr>
        <w:t xml:space="preserve">r. </w:t>
      </w:r>
      <w:r w:rsidR="00EA5D94">
        <w:rPr>
          <w:sz w:val="24"/>
          <w:szCs w:val="24"/>
        </w:rPr>
        <w:t>E</w:t>
      </w:r>
      <w:r>
        <w:rPr>
          <w:sz w:val="24"/>
          <w:szCs w:val="24"/>
        </w:rPr>
        <w:t>ller</w:t>
      </w:r>
      <w:r w:rsidR="00EA5D94">
        <w:rPr>
          <w:sz w:val="24"/>
          <w:szCs w:val="24"/>
        </w:rPr>
        <w:t xml:space="preserve"> forankra i aktørar i reg</w:t>
      </w:r>
      <w:r>
        <w:rPr>
          <w:sz w:val="24"/>
          <w:szCs w:val="24"/>
        </w:rPr>
        <w:t xml:space="preserve">ionen </w:t>
      </w:r>
      <w:r w:rsidR="00EA5D94" w:rsidRPr="00802983">
        <w:rPr>
          <w:sz w:val="24"/>
          <w:szCs w:val="24"/>
        </w:rPr>
        <w:t xml:space="preserve">knytt til innovasjon i </w:t>
      </w:r>
      <w:r w:rsidR="00EA5D94">
        <w:rPr>
          <w:sz w:val="24"/>
          <w:szCs w:val="24"/>
        </w:rPr>
        <w:t xml:space="preserve">lokale og regionale </w:t>
      </w:r>
      <w:r w:rsidR="00EA5D94" w:rsidRPr="00802983">
        <w:rPr>
          <w:sz w:val="24"/>
          <w:szCs w:val="24"/>
        </w:rPr>
        <w:t xml:space="preserve">klynger og innovasjonssystem </w:t>
      </w:r>
      <w:r w:rsidR="00EA5D94">
        <w:rPr>
          <w:sz w:val="24"/>
          <w:szCs w:val="24"/>
        </w:rPr>
        <w:t xml:space="preserve">basert på samhandling mellom arbeidsliv, </w:t>
      </w:r>
      <w:r w:rsidR="00EA5D94" w:rsidRPr="00802983">
        <w:rPr>
          <w:sz w:val="24"/>
          <w:szCs w:val="24"/>
        </w:rPr>
        <w:t xml:space="preserve"> FoU</w:t>
      </w:r>
      <w:r w:rsidR="00EA5D94">
        <w:rPr>
          <w:sz w:val="24"/>
          <w:szCs w:val="24"/>
        </w:rPr>
        <w:t xml:space="preserve"> – inkludert høgre utdanning og verkemiddel</w:t>
      </w:r>
      <w:r w:rsidR="00EA5D94" w:rsidRPr="00802983">
        <w:rPr>
          <w:sz w:val="24"/>
          <w:szCs w:val="24"/>
        </w:rPr>
        <w:t xml:space="preserve">. </w:t>
      </w:r>
      <w:r w:rsidR="00EA5D94">
        <w:rPr>
          <w:sz w:val="24"/>
          <w:szCs w:val="24"/>
        </w:rPr>
        <w:t>Begge vegane handlar om utvikling av lokaliseringsfaktorar skapt over tid</w:t>
      </w:r>
      <w:r w:rsidR="008660C3">
        <w:rPr>
          <w:sz w:val="24"/>
          <w:szCs w:val="24"/>
        </w:rPr>
        <w:t>. U</w:t>
      </w:r>
      <w:r w:rsidR="00EA5D94">
        <w:rPr>
          <w:sz w:val="24"/>
          <w:szCs w:val="24"/>
        </w:rPr>
        <w:t xml:space="preserve">tviklingsvegane går </w:t>
      </w:r>
      <w:r w:rsidR="008660C3">
        <w:rPr>
          <w:sz w:val="24"/>
          <w:szCs w:val="24"/>
        </w:rPr>
        <w:t xml:space="preserve">oftast </w:t>
      </w:r>
      <w:r w:rsidR="00EA5D94">
        <w:rPr>
          <w:sz w:val="24"/>
          <w:szCs w:val="24"/>
        </w:rPr>
        <w:t>v</w:t>
      </w:r>
      <w:r w:rsidR="008660C3">
        <w:rPr>
          <w:sz w:val="24"/>
          <w:szCs w:val="24"/>
        </w:rPr>
        <w:t>idare på alt oppgåtte stiar, og</w:t>
      </w:r>
      <w:r w:rsidR="00EA5D94">
        <w:rPr>
          <w:sz w:val="24"/>
          <w:szCs w:val="24"/>
        </w:rPr>
        <w:t xml:space="preserve"> regionalt forankra høgre utdannings – og forskingsinstitusjonar medverka</w:t>
      </w:r>
      <w:r w:rsidR="008660C3">
        <w:rPr>
          <w:sz w:val="24"/>
          <w:szCs w:val="24"/>
        </w:rPr>
        <w:t>r</w:t>
      </w:r>
      <w:r w:rsidR="00EA5D94">
        <w:rPr>
          <w:sz w:val="24"/>
          <w:szCs w:val="24"/>
        </w:rPr>
        <w:t xml:space="preserve"> til å laga stiane</w:t>
      </w:r>
      <w:r w:rsidR="008660C3">
        <w:rPr>
          <w:sz w:val="24"/>
          <w:szCs w:val="24"/>
        </w:rPr>
        <w:t xml:space="preserve"> og å endra dei</w:t>
      </w:r>
      <w:r w:rsidR="00EA5D94">
        <w:rPr>
          <w:sz w:val="24"/>
          <w:szCs w:val="24"/>
        </w:rPr>
        <w:t xml:space="preserve">. </w:t>
      </w:r>
      <w:r w:rsidR="008660C3">
        <w:rPr>
          <w:sz w:val="24"/>
          <w:szCs w:val="24"/>
        </w:rPr>
        <w:t xml:space="preserve"> I dette perspektivet </w:t>
      </w:r>
      <w:r w:rsidR="00EA5D94">
        <w:rPr>
          <w:sz w:val="24"/>
          <w:szCs w:val="24"/>
        </w:rPr>
        <w:t xml:space="preserve">utviklar </w:t>
      </w:r>
      <w:r w:rsidR="008660C3">
        <w:rPr>
          <w:sz w:val="24"/>
          <w:szCs w:val="24"/>
        </w:rPr>
        <w:t>regionar seg ulikt. N</w:t>
      </w:r>
      <w:r w:rsidR="00EA5D94">
        <w:rPr>
          <w:sz w:val="24"/>
          <w:szCs w:val="24"/>
        </w:rPr>
        <w:t>oen er attraktive å bu i</w:t>
      </w:r>
      <w:r w:rsidR="008660C3">
        <w:rPr>
          <w:sz w:val="24"/>
          <w:szCs w:val="24"/>
        </w:rPr>
        <w:t xml:space="preserve">, noen har </w:t>
      </w:r>
      <w:r w:rsidR="00693928">
        <w:rPr>
          <w:sz w:val="24"/>
          <w:szCs w:val="24"/>
        </w:rPr>
        <w:t xml:space="preserve">innbyggjarar med </w:t>
      </w:r>
      <w:r w:rsidR="008660C3">
        <w:rPr>
          <w:sz w:val="24"/>
          <w:szCs w:val="24"/>
        </w:rPr>
        <w:t xml:space="preserve">høg motivasjon for å ta høgre utdanning. </w:t>
      </w:r>
      <w:r w:rsidR="00EA5D94">
        <w:rPr>
          <w:sz w:val="24"/>
          <w:szCs w:val="24"/>
        </w:rPr>
        <w:t>Det gir igjen demografiske konsekvensar, som igjen gir universiteta og høgskolan</w:t>
      </w:r>
      <w:r w:rsidR="008660C3">
        <w:rPr>
          <w:sz w:val="24"/>
          <w:szCs w:val="24"/>
        </w:rPr>
        <w:t xml:space="preserve">e ulike samfunnsrammer for </w:t>
      </w:r>
      <w:r w:rsidR="00EA5D94">
        <w:rPr>
          <w:sz w:val="24"/>
          <w:szCs w:val="24"/>
        </w:rPr>
        <w:t xml:space="preserve">vekst gjennom </w:t>
      </w:r>
      <w:r w:rsidR="00693928">
        <w:rPr>
          <w:sz w:val="24"/>
          <w:szCs w:val="24"/>
        </w:rPr>
        <w:t xml:space="preserve">t.d. </w:t>
      </w:r>
      <w:r w:rsidR="00EA5D94">
        <w:rPr>
          <w:sz w:val="24"/>
          <w:szCs w:val="24"/>
        </w:rPr>
        <w:t>rekruttering.</w:t>
      </w:r>
    </w:p>
    <w:p w14:paraId="76970FA8" w14:textId="579DF258" w:rsidR="00EA5D94" w:rsidRDefault="008660C3" w:rsidP="00EA5D94">
      <w:pPr>
        <w:rPr>
          <w:sz w:val="24"/>
          <w:szCs w:val="24"/>
        </w:rPr>
      </w:pPr>
      <w:r>
        <w:rPr>
          <w:sz w:val="24"/>
          <w:szCs w:val="24"/>
        </w:rPr>
        <w:t>R</w:t>
      </w:r>
      <w:r w:rsidR="00EA5D94">
        <w:rPr>
          <w:sz w:val="24"/>
          <w:szCs w:val="24"/>
        </w:rPr>
        <w:t>egiona</w:t>
      </w:r>
      <w:r w:rsidR="00693928">
        <w:rPr>
          <w:sz w:val="24"/>
          <w:szCs w:val="24"/>
        </w:rPr>
        <w:t>r</w:t>
      </w:r>
      <w:r w:rsidR="00EA5D94">
        <w:rPr>
          <w:sz w:val="24"/>
          <w:szCs w:val="24"/>
        </w:rPr>
        <w:t xml:space="preserve"> k</w:t>
      </w:r>
      <w:r>
        <w:rPr>
          <w:sz w:val="24"/>
          <w:szCs w:val="24"/>
        </w:rPr>
        <w:t xml:space="preserve">an </w:t>
      </w:r>
      <w:r w:rsidR="00EA5D94">
        <w:rPr>
          <w:sz w:val="24"/>
          <w:szCs w:val="24"/>
        </w:rPr>
        <w:t>grupperast ut i frå slike kjenneteikn. Kompetansebehovutvalet</w:t>
      </w:r>
      <w:r w:rsidR="00EA5D94">
        <w:rPr>
          <w:rStyle w:val="Fotnotereferanse"/>
          <w:sz w:val="24"/>
          <w:szCs w:val="24"/>
        </w:rPr>
        <w:footnoteReference w:id="8"/>
      </w:r>
      <w:r w:rsidR="00EA5D94">
        <w:rPr>
          <w:sz w:val="24"/>
          <w:szCs w:val="24"/>
        </w:rPr>
        <w:t xml:space="preserve"> sine analysar i</w:t>
      </w:r>
      <w:r w:rsidR="00693928">
        <w:rPr>
          <w:sz w:val="24"/>
          <w:szCs w:val="24"/>
        </w:rPr>
        <w:t xml:space="preserve">dentifiserer at noen </w:t>
      </w:r>
      <w:r w:rsidR="00EA5D94">
        <w:rPr>
          <w:sz w:val="24"/>
          <w:szCs w:val="24"/>
        </w:rPr>
        <w:t xml:space="preserve">typar regionar (spesielt i distriktsregionar) har lokal demografi ikkje dekka sysselsettingsutviklinga verken kvantitativt eller kvalitativt. Her har imidlertid innvandring av ulike typar medverka til å kompensera for manglande «naturleg» folketalsvekst. Innvandring har også gitt ein meir mobil arbeidsstyrke (som no flyttar ut frå mange regionar), samstundes som innvandringa til Noreg har gått ned. Utvalet påviser også ein stadig aukande geografisk avstand mellom kor naturressursar i ein region er, og kor den arbeidsdyktige delen av folkemengda </w:t>
      </w:r>
      <w:r>
        <w:rPr>
          <w:sz w:val="24"/>
          <w:szCs w:val="24"/>
        </w:rPr>
        <w:t xml:space="preserve">(mellom dei fleire og fleire med høgre utdanning) </w:t>
      </w:r>
      <w:r w:rsidR="00EA5D94">
        <w:rPr>
          <w:sz w:val="24"/>
          <w:szCs w:val="24"/>
        </w:rPr>
        <w:t xml:space="preserve">er og ønskjer å vera busett. </w:t>
      </w:r>
    </w:p>
    <w:p w14:paraId="76DFDE90" w14:textId="52738232" w:rsidR="00493502" w:rsidRDefault="00493502" w:rsidP="00493502">
      <w:pPr>
        <w:rPr>
          <w:sz w:val="24"/>
          <w:szCs w:val="24"/>
        </w:rPr>
      </w:pPr>
      <w:r w:rsidRPr="00327E2D">
        <w:rPr>
          <w:sz w:val="24"/>
          <w:szCs w:val="24"/>
        </w:rPr>
        <w:t>Noen regionar, og delar av fleire regionar, består av  distriktssamfunn. Mye av debattane om universiteta – og høgskolane si regionale rolle handlar både direkte og meir implisitt om at dei er viktige i distrikts-Noreg.</w:t>
      </w:r>
      <w:r w:rsidR="008660C3">
        <w:rPr>
          <w:sz w:val="24"/>
          <w:szCs w:val="24"/>
        </w:rPr>
        <w:t xml:space="preserve"> N</w:t>
      </w:r>
      <w:r w:rsidRPr="00327E2D">
        <w:rPr>
          <w:sz w:val="24"/>
          <w:szCs w:val="24"/>
        </w:rPr>
        <w:t xml:space="preserve">otatet </w:t>
      </w:r>
      <w:r w:rsidR="00693928">
        <w:rPr>
          <w:sz w:val="24"/>
          <w:szCs w:val="24"/>
        </w:rPr>
        <w:t xml:space="preserve">argumenterer for at </w:t>
      </w:r>
      <w:r w:rsidRPr="00327E2D">
        <w:rPr>
          <w:sz w:val="24"/>
          <w:szCs w:val="24"/>
        </w:rPr>
        <w:t xml:space="preserve">dei er sentrale for utviklinga i alle regionar, men </w:t>
      </w:r>
      <w:r w:rsidR="008660C3">
        <w:rPr>
          <w:sz w:val="24"/>
          <w:szCs w:val="24"/>
        </w:rPr>
        <w:t xml:space="preserve">at </w:t>
      </w:r>
      <w:r w:rsidRPr="00327E2D">
        <w:rPr>
          <w:sz w:val="24"/>
          <w:szCs w:val="24"/>
        </w:rPr>
        <w:t>effektane av institusjonane varier</w:t>
      </w:r>
      <w:r w:rsidR="008660C3">
        <w:rPr>
          <w:sz w:val="24"/>
          <w:szCs w:val="24"/>
        </w:rPr>
        <w:t>er</w:t>
      </w:r>
      <w:r w:rsidRPr="00327E2D">
        <w:rPr>
          <w:sz w:val="24"/>
          <w:szCs w:val="24"/>
        </w:rPr>
        <w:t xml:space="preserve"> </w:t>
      </w:r>
      <w:r>
        <w:rPr>
          <w:sz w:val="24"/>
          <w:szCs w:val="24"/>
        </w:rPr>
        <w:t xml:space="preserve">mellom regionane, og mellom regiontypar.  Men også at regionane set </w:t>
      </w:r>
      <w:r w:rsidRPr="00327E2D">
        <w:rPr>
          <w:sz w:val="24"/>
          <w:szCs w:val="24"/>
        </w:rPr>
        <w:t xml:space="preserve">ulike samfunnsrammer for utviklinga av institusjonane med omsyn til t.d. rekruttering og </w:t>
      </w:r>
      <w:r>
        <w:rPr>
          <w:sz w:val="24"/>
          <w:szCs w:val="24"/>
        </w:rPr>
        <w:t xml:space="preserve">samhandling med </w:t>
      </w:r>
      <w:r w:rsidRPr="00327E2D">
        <w:rPr>
          <w:sz w:val="24"/>
          <w:szCs w:val="24"/>
        </w:rPr>
        <w:t xml:space="preserve"> regionalt arbeidsliv.</w:t>
      </w:r>
      <w:r>
        <w:rPr>
          <w:sz w:val="24"/>
          <w:szCs w:val="24"/>
        </w:rPr>
        <w:t xml:space="preserve"> </w:t>
      </w:r>
      <w:r w:rsidRPr="00327E2D">
        <w:rPr>
          <w:sz w:val="24"/>
          <w:szCs w:val="24"/>
        </w:rPr>
        <w:t xml:space="preserve"> </w:t>
      </w:r>
      <w:r w:rsidR="008660C3">
        <w:rPr>
          <w:sz w:val="24"/>
          <w:szCs w:val="24"/>
        </w:rPr>
        <w:t xml:space="preserve">Notatet </w:t>
      </w:r>
      <w:r w:rsidRPr="00327E2D">
        <w:rPr>
          <w:sz w:val="24"/>
          <w:szCs w:val="24"/>
        </w:rPr>
        <w:t>presenterer noen døme på analysar som illustrerer dette</w:t>
      </w:r>
      <w:r w:rsidR="00642114">
        <w:rPr>
          <w:sz w:val="24"/>
          <w:szCs w:val="24"/>
        </w:rPr>
        <w:t>, og viser</w:t>
      </w:r>
      <w:r>
        <w:rPr>
          <w:sz w:val="24"/>
          <w:szCs w:val="24"/>
        </w:rPr>
        <w:t xml:space="preserve"> korleis universiteta og høgskolane blir påverka at tre sentrale </w:t>
      </w:r>
      <w:r w:rsidR="00642114">
        <w:rPr>
          <w:sz w:val="24"/>
          <w:szCs w:val="24"/>
        </w:rPr>
        <w:t xml:space="preserve">region </w:t>
      </w:r>
      <w:r>
        <w:rPr>
          <w:sz w:val="24"/>
          <w:szCs w:val="24"/>
        </w:rPr>
        <w:t>variasjonar</w:t>
      </w:r>
      <w:r w:rsidR="00642114">
        <w:rPr>
          <w:sz w:val="24"/>
          <w:szCs w:val="24"/>
        </w:rPr>
        <w:t xml:space="preserve">: </w:t>
      </w:r>
    </w:p>
    <w:p w14:paraId="056A3C64" w14:textId="77777777" w:rsidR="00493502" w:rsidRDefault="00493502" w:rsidP="00AE08EF">
      <w:pPr>
        <w:pStyle w:val="Listeavsnitt"/>
        <w:numPr>
          <w:ilvl w:val="0"/>
          <w:numId w:val="6"/>
        </w:numPr>
        <w:rPr>
          <w:sz w:val="24"/>
          <w:szCs w:val="24"/>
        </w:rPr>
      </w:pPr>
      <w:r>
        <w:rPr>
          <w:sz w:val="24"/>
          <w:szCs w:val="24"/>
        </w:rPr>
        <w:t>Korleis demografisk struktur i større eller mindre grad gjer institusjonane avhengige av studentrekruttering utanfor lokaliseringsregionen?</w:t>
      </w:r>
    </w:p>
    <w:p w14:paraId="579B8864" w14:textId="77777777" w:rsidR="00493502" w:rsidRDefault="00493502" w:rsidP="00AE08EF">
      <w:pPr>
        <w:pStyle w:val="Listeavsnitt"/>
        <w:numPr>
          <w:ilvl w:val="0"/>
          <w:numId w:val="6"/>
        </w:numPr>
        <w:rPr>
          <w:sz w:val="24"/>
          <w:szCs w:val="24"/>
        </w:rPr>
      </w:pPr>
      <w:r>
        <w:rPr>
          <w:sz w:val="24"/>
          <w:szCs w:val="24"/>
        </w:rPr>
        <w:t>Kor attraktive regionane er for busetjing og rekruttering av arbeidskraft med høgre utdanning?</w:t>
      </w:r>
    </w:p>
    <w:p w14:paraId="04CC49C9" w14:textId="75EFC992" w:rsidR="00493502" w:rsidRPr="00AE08EF" w:rsidRDefault="00693928" w:rsidP="00AE08EF">
      <w:pPr>
        <w:pStyle w:val="Listeavsnitt"/>
        <w:numPr>
          <w:ilvl w:val="0"/>
          <w:numId w:val="6"/>
        </w:numPr>
        <w:rPr>
          <w:sz w:val="24"/>
          <w:szCs w:val="24"/>
        </w:rPr>
      </w:pPr>
      <w:r>
        <w:rPr>
          <w:sz w:val="24"/>
          <w:szCs w:val="24"/>
        </w:rPr>
        <w:lastRenderedPageBreak/>
        <w:t xml:space="preserve">Kor store muligheter </w:t>
      </w:r>
      <w:r w:rsidR="00493502">
        <w:rPr>
          <w:sz w:val="24"/>
          <w:szCs w:val="24"/>
        </w:rPr>
        <w:t xml:space="preserve">institusjonane </w:t>
      </w:r>
      <w:r>
        <w:rPr>
          <w:sz w:val="24"/>
          <w:szCs w:val="24"/>
        </w:rPr>
        <w:t xml:space="preserve">har </w:t>
      </w:r>
      <w:r w:rsidR="00493502">
        <w:rPr>
          <w:sz w:val="24"/>
          <w:szCs w:val="24"/>
        </w:rPr>
        <w:t xml:space="preserve">for å utvikla faglege miljø i samhandling med breidda i regionalt arbeidsliv, dvs. også med privat sektor? </w:t>
      </w:r>
    </w:p>
    <w:p w14:paraId="5ADB0285" w14:textId="77777777" w:rsidR="00693928" w:rsidRDefault="00693928" w:rsidP="00361948">
      <w:pPr>
        <w:rPr>
          <w:sz w:val="32"/>
          <w:szCs w:val="32"/>
        </w:rPr>
      </w:pPr>
    </w:p>
    <w:p w14:paraId="2A20608F" w14:textId="6C92E7FF" w:rsidR="000E4462" w:rsidRDefault="000E4462" w:rsidP="00361948">
      <w:pPr>
        <w:rPr>
          <w:sz w:val="32"/>
          <w:szCs w:val="32"/>
        </w:rPr>
      </w:pPr>
      <w:r>
        <w:rPr>
          <w:sz w:val="32"/>
          <w:szCs w:val="32"/>
        </w:rPr>
        <w:t>Data</w:t>
      </w:r>
    </w:p>
    <w:p w14:paraId="63EFF156" w14:textId="7A02E7B8" w:rsidR="00642114" w:rsidRDefault="00536F43" w:rsidP="00912895">
      <w:pPr>
        <w:rPr>
          <w:sz w:val="24"/>
          <w:szCs w:val="24"/>
        </w:rPr>
      </w:pPr>
      <w:r>
        <w:rPr>
          <w:sz w:val="24"/>
          <w:szCs w:val="24"/>
        </w:rPr>
        <w:t xml:space="preserve">Notatet byggjer på registerdata frå Samordna opptak (SO), </w:t>
      </w:r>
      <w:r w:rsidR="00B7094B">
        <w:rPr>
          <w:sz w:val="24"/>
          <w:szCs w:val="24"/>
        </w:rPr>
        <w:t>Database fo</w:t>
      </w:r>
      <w:r>
        <w:rPr>
          <w:sz w:val="24"/>
          <w:szCs w:val="24"/>
        </w:rPr>
        <w:t xml:space="preserve">r statistikk om høgre utdanning (DBH) og </w:t>
      </w:r>
      <w:r w:rsidR="00B7094B">
        <w:rPr>
          <w:sz w:val="24"/>
          <w:szCs w:val="24"/>
        </w:rPr>
        <w:t xml:space="preserve">Felles </w:t>
      </w:r>
      <w:r>
        <w:rPr>
          <w:sz w:val="24"/>
          <w:szCs w:val="24"/>
        </w:rPr>
        <w:t xml:space="preserve">studentsystem (FS). </w:t>
      </w:r>
      <w:r w:rsidR="00642114">
        <w:rPr>
          <w:sz w:val="24"/>
          <w:szCs w:val="24"/>
        </w:rPr>
        <w:t xml:space="preserve"> Vidare på registerdata over demografi og sysselsetjing frå Statistisk sentralbyrå (SSB). Sysselsetningsstatistikken måler sysselsetjing registrert på arbeidsstad (ikkje på kor den sysselsette </w:t>
      </w:r>
      <w:r w:rsidR="00693928">
        <w:rPr>
          <w:sz w:val="24"/>
          <w:szCs w:val="24"/>
        </w:rPr>
        <w:t>er registrert busett</w:t>
      </w:r>
      <w:r w:rsidR="00642114">
        <w:rPr>
          <w:sz w:val="24"/>
          <w:szCs w:val="24"/>
        </w:rPr>
        <w:t>).</w:t>
      </w:r>
    </w:p>
    <w:p w14:paraId="3725277D" w14:textId="3BF279CB" w:rsidR="00912895" w:rsidRPr="00912895" w:rsidRDefault="00642114" w:rsidP="00912895">
      <w:pPr>
        <w:rPr>
          <w:sz w:val="24"/>
          <w:szCs w:val="24"/>
        </w:rPr>
      </w:pPr>
      <w:r>
        <w:rPr>
          <w:sz w:val="24"/>
          <w:szCs w:val="24"/>
        </w:rPr>
        <w:t xml:space="preserve">Vidare er notatet basert på </w:t>
      </w:r>
      <w:r w:rsidR="00FD7DDF">
        <w:rPr>
          <w:sz w:val="24"/>
          <w:szCs w:val="24"/>
        </w:rPr>
        <w:t>UiT</w:t>
      </w:r>
      <w:r>
        <w:rPr>
          <w:sz w:val="24"/>
          <w:szCs w:val="24"/>
        </w:rPr>
        <w:t xml:space="preserve"> Norges arktiske universitet (UiT) </w:t>
      </w:r>
      <w:r w:rsidR="00FD7DDF">
        <w:rPr>
          <w:sz w:val="24"/>
          <w:szCs w:val="24"/>
        </w:rPr>
        <w:t>s</w:t>
      </w:r>
      <w:r>
        <w:rPr>
          <w:sz w:val="24"/>
          <w:szCs w:val="24"/>
        </w:rPr>
        <w:t>ine</w:t>
      </w:r>
      <w:r w:rsidR="00FD7DDF">
        <w:rPr>
          <w:sz w:val="24"/>
          <w:szCs w:val="24"/>
        </w:rPr>
        <w:t xml:space="preserve"> kandidatundersøkingar</w:t>
      </w:r>
      <w:r w:rsidR="00912895">
        <w:rPr>
          <w:sz w:val="24"/>
          <w:szCs w:val="24"/>
        </w:rPr>
        <w:t xml:space="preserve"> i 2017 og 2019</w:t>
      </w:r>
      <w:r w:rsidR="00912895" w:rsidRPr="00912895">
        <w:rPr>
          <w:sz w:val="24"/>
          <w:szCs w:val="24"/>
        </w:rPr>
        <w:t>.</w:t>
      </w:r>
      <w:r w:rsidR="00693928">
        <w:rPr>
          <w:sz w:val="24"/>
          <w:szCs w:val="24"/>
        </w:rPr>
        <w:t xml:space="preserve"> I 2017 hadde denne</w:t>
      </w:r>
      <w:r w:rsidR="00912895" w:rsidRPr="00912895">
        <w:rPr>
          <w:sz w:val="24"/>
          <w:szCs w:val="24"/>
        </w:rPr>
        <w:t xml:space="preserve"> 2271 svar og ein</w:t>
      </w:r>
      <w:r w:rsidR="00693928">
        <w:rPr>
          <w:sz w:val="24"/>
          <w:szCs w:val="24"/>
        </w:rPr>
        <w:t xml:space="preserve"> svarprosent på 44 </w:t>
      </w:r>
      <w:r w:rsidR="00912895">
        <w:rPr>
          <w:sz w:val="24"/>
          <w:szCs w:val="24"/>
        </w:rPr>
        <w:t xml:space="preserve">av </w:t>
      </w:r>
      <w:r w:rsidR="00693928">
        <w:rPr>
          <w:sz w:val="24"/>
          <w:szCs w:val="24"/>
        </w:rPr>
        <w:t>kandidatar med gradgje</w:t>
      </w:r>
      <w:r w:rsidR="00912895" w:rsidRPr="00912895">
        <w:rPr>
          <w:sz w:val="24"/>
          <w:szCs w:val="24"/>
        </w:rPr>
        <w:t>vande utdanning ut</w:t>
      </w:r>
      <w:r w:rsidR="00912895">
        <w:rPr>
          <w:sz w:val="24"/>
          <w:szCs w:val="24"/>
        </w:rPr>
        <w:t xml:space="preserve">eksaminert semestra H2013-H2015 frå UiT og høgskolane i Harstad og Narvik. </w:t>
      </w:r>
      <w:r w:rsidR="00912895" w:rsidRPr="00912895">
        <w:rPr>
          <w:sz w:val="24"/>
          <w:szCs w:val="24"/>
        </w:rPr>
        <w:t xml:space="preserve"> I februar 2017 (då</w:t>
      </w:r>
      <w:r w:rsidR="00693928">
        <w:rPr>
          <w:sz w:val="24"/>
          <w:szCs w:val="24"/>
        </w:rPr>
        <w:t xml:space="preserve"> dei vart spurt) var det frå 14 mnd.</w:t>
      </w:r>
      <w:r w:rsidR="00912895" w:rsidRPr="00912895">
        <w:rPr>
          <w:sz w:val="24"/>
          <w:szCs w:val="24"/>
        </w:rPr>
        <w:t xml:space="preserve"> til 3 år sidan dei var uteksaminert</w:t>
      </w:r>
      <w:r w:rsidR="00693928">
        <w:rPr>
          <w:sz w:val="24"/>
          <w:szCs w:val="24"/>
        </w:rPr>
        <w:t>e</w:t>
      </w:r>
      <w:r w:rsidR="00912895" w:rsidRPr="00912895">
        <w:rPr>
          <w:sz w:val="24"/>
          <w:szCs w:val="24"/>
        </w:rPr>
        <w:t xml:space="preserve">. </w:t>
      </w:r>
      <w:r w:rsidR="00912895">
        <w:rPr>
          <w:sz w:val="24"/>
          <w:szCs w:val="24"/>
        </w:rPr>
        <w:t xml:space="preserve"> </w:t>
      </w:r>
      <w:r w:rsidR="00912895" w:rsidRPr="00912895">
        <w:rPr>
          <w:sz w:val="24"/>
          <w:szCs w:val="24"/>
        </w:rPr>
        <w:t>I 2019 var det 3259 svar og ein svarpros</w:t>
      </w:r>
      <w:r w:rsidR="00693928">
        <w:rPr>
          <w:sz w:val="24"/>
          <w:szCs w:val="24"/>
        </w:rPr>
        <w:t xml:space="preserve">ent på 59 </w:t>
      </w:r>
      <w:r w:rsidR="00912895">
        <w:rPr>
          <w:sz w:val="24"/>
          <w:szCs w:val="24"/>
        </w:rPr>
        <w:t xml:space="preserve">av </w:t>
      </w:r>
      <w:r w:rsidR="00912895" w:rsidRPr="00912895">
        <w:rPr>
          <w:sz w:val="24"/>
          <w:szCs w:val="24"/>
        </w:rPr>
        <w:t>kandidatar med gradgivande utdanning frå UiT semestra V2016-H2017</w:t>
      </w:r>
      <w:r w:rsidR="00912895">
        <w:rPr>
          <w:sz w:val="24"/>
          <w:szCs w:val="24"/>
        </w:rPr>
        <w:t xml:space="preserve">. </w:t>
      </w:r>
      <w:r w:rsidR="00912895" w:rsidRPr="00912895">
        <w:rPr>
          <w:sz w:val="24"/>
          <w:szCs w:val="24"/>
        </w:rPr>
        <w:t>I januar 2019 (då</w:t>
      </w:r>
      <w:r w:rsidR="00693928">
        <w:rPr>
          <w:sz w:val="24"/>
          <w:szCs w:val="24"/>
        </w:rPr>
        <w:t xml:space="preserve"> dei vart spurt) var det frå 13 mnd.</w:t>
      </w:r>
      <w:r w:rsidR="00912895" w:rsidRPr="00912895">
        <w:rPr>
          <w:sz w:val="24"/>
          <w:szCs w:val="24"/>
        </w:rPr>
        <w:t xml:space="preserve"> til 2,5 år sidan dei var uteksaminert</w:t>
      </w:r>
      <w:r w:rsidR="00693928">
        <w:rPr>
          <w:sz w:val="24"/>
          <w:szCs w:val="24"/>
        </w:rPr>
        <w:t>e</w:t>
      </w:r>
      <w:r w:rsidR="00912895" w:rsidRPr="00912895">
        <w:rPr>
          <w:sz w:val="24"/>
          <w:szCs w:val="24"/>
        </w:rPr>
        <w:t xml:space="preserve">. </w:t>
      </w:r>
    </w:p>
    <w:p w14:paraId="2768C293" w14:textId="77777777" w:rsidR="000E4462" w:rsidRPr="000E4462" w:rsidRDefault="000E4462" w:rsidP="00361948">
      <w:pPr>
        <w:rPr>
          <w:sz w:val="24"/>
          <w:szCs w:val="24"/>
        </w:rPr>
      </w:pPr>
    </w:p>
    <w:p w14:paraId="78FD44E9" w14:textId="432D0359" w:rsidR="00EB262E" w:rsidRPr="0030160F" w:rsidRDefault="00493502" w:rsidP="00361948">
      <w:pPr>
        <w:rPr>
          <w:sz w:val="32"/>
          <w:szCs w:val="32"/>
        </w:rPr>
      </w:pPr>
      <w:r>
        <w:rPr>
          <w:sz w:val="32"/>
          <w:szCs w:val="32"/>
        </w:rPr>
        <w:t>Studentar, kandidatar, geografi</w:t>
      </w:r>
    </w:p>
    <w:p w14:paraId="274991BC" w14:textId="52D2D322" w:rsidR="00EB262E" w:rsidRDefault="0030160F" w:rsidP="00361948">
      <w:pPr>
        <w:rPr>
          <w:sz w:val="24"/>
          <w:szCs w:val="24"/>
        </w:rPr>
      </w:pPr>
      <w:r>
        <w:rPr>
          <w:sz w:val="24"/>
          <w:szCs w:val="24"/>
        </w:rPr>
        <w:t>Innlei</w:t>
      </w:r>
      <w:r w:rsidR="001C5138">
        <w:rPr>
          <w:sz w:val="24"/>
          <w:szCs w:val="24"/>
        </w:rPr>
        <w:t>i</w:t>
      </w:r>
      <w:r>
        <w:rPr>
          <w:sz w:val="24"/>
          <w:szCs w:val="24"/>
        </w:rPr>
        <w:t>ngsvis viste eg til eit oppslag i Aftenposten frå 2011 baser</w:t>
      </w:r>
      <w:r w:rsidR="002F3B1D">
        <w:rPr>
          <w:sz w:val="24"/>
          <w:szCs w:val="24"/>
        </w:rPr>
        <w:t>t på ein NIFU analyse basert på</w:t>
      </w:r>
      <w:r>
        <w:rPr>
          <w:sz w:val="24"/>
          <w:szCs w:val="24"/>
        </w:rPr>
        <w:t xml:space="preserve"> samordna opptak 2003-2009. Artikkelen </w:t>
      </w:r>
      <w:r w:rsidR="008F0543">
        <w:rPr>
          <w:sz w:val="24"/>
          <w:szCs w:val="24"/>
        </w:rPr>
        <w:t xml:space="preserve">i Aftenposten </w:t>
      </w:r>
      <w:r>
        <w:rPr>
          <w:sz w:val="24"/>
          <w:szCs w:val="24"/>
        </w:rPr>
        <w:t>er skrive rundt ein figur som viser kor stor del av søkjarar i det nasjonale opp</w:t>
      </w:r>
      <w:r w:rsidR="001C5138">
        <w:rPr>
          <w:sz w:val="24"/>
          <w:szCs w:val="24"/>
        </w:rPr>
        <w:t>taket ved ulike universitet og høgskolar</w:t>
      </w:r>
      <w:r w:rsidR="008F0543">
        <w:rPr>
          <w:sz w:val="24"/>
          <w:szCs w:val="24"/>
        </w:rPr>
        <w:t xml:space="preserve"> </w:t>
      </w:r>
      <w:r w:rsidR="001C5138">
        <w:rPr>
          <w:sz w:val="24"/>
          <w:szCs w:val="24"/>
        </w:rPr>
        <w:t>som k</w:t>
      </w:r>
      <w:r w:rsidR="002F3B1D">
        <w:rPr>
          <w:sz w:val="24"/>
          <w:szCs w:val="24"/>
        </w:rPr>
        <w:t>om</w:t>
      </w:r>
      <w:r w:rsidR="001C5138">
        <w:rPr>
          <w:sz w:val="24"/>
          <w:szCs w:val="24"/>
        </w:rPr>
        <w:t xml:space="preserve"> frå same region eller landsdel </w:t>
      </w:r>
      <w:r w:rsidR="002F3B1D">
        <w:rPr>
          <w:sz w:val="24"/>
          <w:szCs w:val="24"/>
        </w:rPr>
        <w:t>som den aktuelle institusjonen var lokalisert i.  Figuren va</w:t>
      </w:r>
      <w:r w:rsidR="001C5138">
        <w:rPr>
          <w:sz w:val="24"/>
          <w:szCs w:val="24"/>
        </w:rPr>
        <w:t xml:space="preserve">r laga med utgangspunkt i </w:t>
      </w:r>
      <w:r w:rsidR="002F3B1D">
        <w:rPr>
          <w:sz w:val="24"/>
          <w:szCs w:val="24"/>
        </w:rPr>
        <w:t>data frå 2009 og va</w:t>
      </w:r>
      <w:r w:rsidR="00EC240B">
        <w:rPr>
          <w:sz w:val="24"/>
          <w:szCs w:val="24"/>
        </w:rPr>
        <w:t>r basert på tre landsdelsspesifikke analysar i rapporten</w:t>
      </w:r>
      <w:r w:rsidR="00EC240B">
        <w:rPr>
          <w:rStyle w:val="Fotnotereferanse"/>
          <w:sz w:val="24"/>
          <w:szCs w:val="24"/>
        </w:rPr>
        <w:footnoteReference w:id="9"/>
      </w:r>
      <w:r w:rsidR="00EC240B">
        <w:rPr>
          <w:sz w:val="24"/>
          <w:szCs w:val="24"/>
        </w:rPr>
        <w:t xml:space="preserve">. Ein analyse </w:t>
      </w:r>
      <w:r w:rsidR="008F0543">
        <w:rPr>
          <w:sz w:val="24"/>
          <w:szCs w:val="24"/>
        </w:rPr>
        <w:t xml:space="preserve">i rapporten </w:t>
      </w:r>
      <w:r w:rsidR="00EC240B">
        <w:rPr>
          <w:sz w:val="24"/>
          <w:szCs w:val="24"/>
        </w:rPr>
        <w:t xml:space="preserve">av </w:t>
      </w:r>
      <w:r w:rsidR="008F0543">
        <w:rPr>
          <w:sz w:val="24"/>
          <w:szCs w:val="24"/>
        </w:rPr>
        <w:t>søkjar</w:t>
      </w:r>
      <w:r w:rsidR="002F3B1D">
        <w:rPr>
          <w:sz w:val="24"/>
          <w:szCs w:val="24"/>
        </w:rPr>
        <w:t>tala for 2003-2009 tydde</w:t>
      </w:r>
      <w:r w:rsidR="00EC240B">
        <w:rPr>
          <w:sz w:val="24"/>
          <w:szCs w:val="24"/>
        </w:rPr>
        <w:t xml:space="preserve"> på at fordelinga i 2009 var stabil</w:t>
      </w:r>
      <w:r w:rsidR="00EC240B">
        <w:rPr>
          <w:rStyle w:val="Fotnotereferanse"/>
          <w:sz w:val="24"/>
          <w:szCs w:val="24"/>
        </w:rPr>
        <w:footnoteReference w:id="10"/>
      </w:r>
      <w:r w:rsidR="002F3B1D">
        <w:rPr>
          <w:sz w:val="24"/>
          <w:szCs w:val="24"/>
        </w:rPr>
        <w:t>. Artikkelen nemnde</w:t>
      </w:r>
      <w:r w:rsidR="00EC240B">
        <w:rPr>
          <w:sz w:val="24"/>
          <w:szCs w:val="24"/>
        </w:rPr>
        <w:t xml:space="preserve"> også at dette mønsteret, eller denne regionale forankringa, ikkje galdt for NTNU og det som då var UMB. Dette på grunn av at tidlegare Noregs tekniske høgskole (NTH) og Noregs landbrukshøgskolen (NLH) hadde unike tilbod </w:t>
      </w:r>
      <w:r w:rsidR="008F0543">
        <w:rPr>
          <w:sz w:val="24"/>
          <w:szCs w:val="24"/>
        </w:rPr>
        <w:t xml:space="preserve">på den nasjonale arenaen </w:t>
      </w:r>
      <w:r w:rsidR="00EC240B">
        <w:rPr>
          <w:sz w:val="24"/>
          <w:szCs w:val="24"/>
        </w:rPr>
        <w:t xml:space="preserve">og rekrutterte </w:t>
      </w:r>
      <w:r w:rsidR="00691950">
        <w:rPr>
          <w:sz w:val="24"/>
          <w:szCs w:val="24"/>
        </w:rPr>
        <w:t>studentar jamt fo</w:t>
      </w:r>
      <w:r w:rsidR="00155B19">
        <w:rPr>
          <w:sz w:val="24"/>
          <w:szCs w:val="24"/>
        </w:rPr>
        <w:t xml:space="preserve">rdelt over «heile» landet.  </w:t>
      </w:r>
    </w:p>
    <w:p w14:paraId="4C68B323" w14:textId="38773BA2" w:rsidR="00691950" w:rsidRDefault="00691950" w:rsidP="00361948">
      <w:pPr>
        <w:rPr>
          <w:sz w:val="24"/>
          <w:szCs w:val="24"/>
        </w:rPr>
      </w:pPr>
      <w:r>
        <w:rPr>
          <w:sz w:val="24"/>
          <w:szCs w:val="24"/>
        </w:rPr>
        <w:t xml:space="preserve">Regional forankring handlar om </w:t>
      </w:r>
      <w:r w:rsidR="00A46222">
        <w:rPr>
          <w:sz w:val="24"/>
          <w:szCs w:val="24"/>
        </w:rPr>
        <w:t>når studentar vel studiar og studiestad</w:t>
      </w:r>
      <w:r>
        <w:rPr>
          <w:sz w:val="24"/>
          <w:szCs w:val="24"/>
        </w:rPr>
        <w:t xml:space="preserve"> på ein nasjonal marknad</w:t>
      </w:r>
      <w:r w:rsidR="002F3B1D">
        <w:rPr>
          <w:sz w:val="24"/>
          <w:szCs w:val="24"/>
        </w:rPr>
        <w:t xml:space="preserve"> og tek tilboda</w:t>
      </w:r>
      <w:r w:rsidR="00A46222">
        <w:rPr>
          <w:sz w:val="24"/>
          <w:szCs w:val="24"/>
        </w:rPr>
        <w:t xml:space="preserve"> som er lokalisert i regionen</w:t>
      </w:r>
      <w:r>
        <w:rPr>
          <w:sz w:val="24"/>
          <w:szCs w:val="24"/>
        </w:rPr>
        <w:t xml:space="preserve">, men også </w:t>
      </w:r>
      <w:r w:rsidR="00A46222">
        <w:rPr>
          <w:sz w:val="24"/>
          <w:szCs w:val="24"/>
        </w:rPr>
        <w:t xml:space="preserve">at </w:t>
      </w:r>
      <w:r>
        <w:rPr>
          <w:sz w:val="24"/>
          <w:szCs w:val="24"/>
        </w:rPr>
        <w:t xml:space="preserve">kandidatane </w:t>
      </w:r>
      <w:r w:rsidR="00A46222">
        <w:rPr>
          <w:sz w:val="24"/>
          <w:szCs w:val="24"/>
        </w:rPr>
        <w:t xml:space="preserve">tek jobb i same region. </w:t>
      </w:r>
      <w:r w:rsidR="002F3B1D">
        <w:rPr>
          <w:sz w:val="24"/>
          <w:szCs w:val="24"/>
        </w:rPr>
        <w:t xml:space="preserve">Viss dette fungerer, medverka det til at </w:t>
      </w:r>
      <w:r>
        <w:rPr>
          <w:sz w:val="24"/>
          <w:szCs w:val="24"/>
        </w:rPr>
        <w:t xml:space="preserve">alle </w:t>
      </w:r>
      <w:r w:rsidR="002F3B1D">
        <w:rPr>
          <w:sz w:val="24"/>
          <w:szCs w:val="24"/>
        </w:rPr>
        <w:t xml:space="preserve">har </w:t>
      </w:r>
      <w:r>
        <w:rPr>
          <w:sz w:val="24"/>
          <w:szCs w:val="24"/>
        </w:rPr>
        <w:t xml:space="preserve">same muligheter </w:t>
      </w:r>
      <w:r w:rsidR="00A46222">
        <w:rPr>
          <w:sz w:val="24"/>
          <w:szCs w:val="24"/>
        </w:rPr>
        <w:t xml:space="preserve">for å delta </w:t>
      </w:r>
      <w:r>
        <w:rPr>
          <w:sz w:val="24"/>
          <w:szCs w:val="24"/>
        </w:rPr>
        <w:t>global</w:t>
      </w:r>
      <w:r w:rsidR="00A46222">
        <w:rPr>
          <w:sz w:val="24"/>
          <w:szCs w:val="24"/>
        </w:rPr>
        <w:t xml:space="preserve">t, og samstundes som det </w:t>
      </w:r>
      <w:r>
        <w:rPr>
          <w:sz w:val="24"/>
          <w:szCs w:val="24"/>
        </w:rPr>
        <w:t>utvikla</w:t>
      </w:r>
      <w:r w:rsidR="00A46222">
        <w:rPr>
          <w:sz w:val="24"/>
          <w:szCs w:val="24"/>
        </w:rPr>
        <w:t>r</w:t>
      </w:r>
      <w:r>
        <w:rPr>
          <w:sz w:val="24"/>
          <w:szCs w:val="24"/>
        </w:rPr>
        <w:t xml:space="preserve"> arbeidslivet i alle regionar</w:t>
      </w:r>
      <w:r w:rsidR="00A46222">
        <w:rPr>
          <w:sz w:val="24"/>
          <w:szCs w:val="24"/>
        </w:rPr>
        <w:t>.</w:t>
      </w:r>
    </w:p>
    <w:p w14:paraId="76670A5A" w14:textId="63125688" w:rsidR="000E4462" w:rsidRDefault="00652E7C" w:rsidP="00361948">
      <w:pPr>
        <w:rPr>
          <w:sz w:val="24"/>
          <w:szCs w:val="24"/>
        </w:rPr>
      </w:pPr>
      <w:r>
        <w:rPr>
          <w:sz w:val="24"/>
          <w:szCs w:val="24"/>
        </w:rPr>
        <w:t xml:space="preserve">Analysen inkluderer studentar som har søkt </w:t>
      </w:r>
      <w:r w:rsidR="00C9217C">
        <w:rPr>
          <w:sz w:val="24"/>
          <w:szCs w:val="24"/>
        </w:rPr>
        <w:t xml:space="preserve">gjennom samordna opptak </w:t>
      </w:r>
      <w:r>
        <w:rPr>
          <w:sz w:val="24"/>
          <w:szCs w:val="24"/>
        </w:rPr>
        <w:t xml:space="preserve">og </w:t>
      </w:r>
      <w:r w:rsidR="00A17941">
        <w:rPr>
          <w:sz w:val="24"/>
          <w:szCs w:val="24"/>
        </w:rPr>
        <w:t xml:space="preserve">møtt opp på </w:t>
      </w:r>
      <w:r>
        <w:rPr>
          <w:sz w:val="24"/>
          <w:szCs w:val="24"/>
        </w:rPr>
        <w:t xml:space="preserve">eit </w:t>
      </w:r>
      <w:r w:rsidR="00A17941">
        <w:rPr>
          <w:sz w:val="24"/>
          <w:szCs w:val="24"/>
        </w:rPr>
        <w:t>studi</w:t>
      </w:r>
      <w:r>
        <w:rPr>
          <w:sz w:val="24"/>
          <w:szCs w:val="24"/>
        </w:rPr>
        <w:t>um ved eit universitet og ein høgskole</w:t>
      </w:r>
      <w:r>
        <w:rPr>
          <w:rStyle w:val="Fotnotereferanse"/>
          <w:sz w:val="24"/>
          <w:szCs w:val="24"/>
        </w:rPr>
        <w:footnoteReference w:id="11"/>
      </w:r>
      <w:r>
        <w:rPr>
          <w:sz w:val="24"/>
          <w:szCs w:val="24"/>
        </w:rPr>
        <w:t xml:space="preserve">. </w:t>
      </w:r>
    </w:p>
    <w:p w14:paraId="6A051348" w14:textId="30C79DD6" w:rsidR="007C6072" w:rsidRPr="007C6072" w:rsidRDefault="000E36DF" w:rsidP="00361948">
      <w:pPr>
        <w:rPr>
          <w:i/>
          <w:sz w:val="24"/>
          <w:szCs w:val="24"/>
        </w:rPr>
      </w:pPr>
      <w:r>
        <w:rPr>
          <w:i/>
          <w:sz w:val="24"/>
          <w:szCs w:val="24"/>
        </w:rPr>
        <w:t>Studentar i geografien</w:t>
      </w:r>
    </w:p>
    <w:p w14:paraId="5FC1A345" w14:textId="231CE4D4" w:rsidR="00FD7DDF" w:rsidRDefault="00FD7DDF" w:rsidP="00361948">
      <w:pPr>
        <w:rPr>
          <w:sz w:val="24"/>
          <w:szCs w:val="24"/>
        </w:rPr>
      </w:pPr>
      <w:r>
        <w:rPr>
          <w:sz w:val="24"/>
          <w:szCs w:val="24"/>
        </w:rPr>
        <w:lastRenderedPageBreak/>
        <w:t xml:space="preserve">I 2016 </w:t>
      </w:r>
      <w:r w:rsidR="00A17941">
        <w:rPr>
          <w:sz w:val="24"/>
          <w:szCs w:val="24"/>
        </w:rPr>
        <w:t xml:space="preserve">var 67 prosent av </w:t>
      </w:r>
      <w:r w:rsidR="00652E7C">
        <w:rPr>
          <w:sz w:val="24"/>
          <w:szCs w:val="24"/>
        </w:rPr>
        <w:t xml:space="preserve">dei som møtte til studiar ved </w:t>
      </w:r>
      <w:r w:rsidR="00A17941">
        <w:rPr>
          <w:sz w:val="24"/>
          <w:szCs w:val="24"/>
        </w:rPr>
        <w:t>UiT frå Nord-Noreg (registrert heimko</w:t>
      </w:r>
      <w:r w:rsidR="00C9217C">
        <w:rPr>
          <w:sz w:val="24"/>
          <w:szCs w:val="24"/>
        </w:rPr>
        <w:t xml:space="preserve">mmune </w:t>
      </w:r>
      <w:r w:rsidR="002F3B1D">
        <w:rPr>
          <w:sz w:val="24"/>
          <w:szCs w:val="24"/>
        </w:rPr>
        <w:t>i landsdelen),</w:t>
      </w:r>
      <w:r w:rsidR="00C9217C">
        <w:rPr>
          <w:sz w:val="24"/>
          <w:szCs w:val="24"/>
        </w:rPr>
        <w:t xml:space="preserve"> 52 prosent var frå T</w:t>
      </w:r>
      <w:r w:rsidR="00A17941">
        <w:rPr>
          <w:sz w:val="24"/>
          <w:szCs w:val="24"/>
        </w:rPr>
        <w:t xml:space="preserve">roms og Finnmark – altså «nærregionen» til UiT.  Dette er </w:t>
      </w:r>
      <w:r w:rsidR="00C9217C">
        <w:rPr>
          <w:sz w:val="24"/>
          <w:szCs w:val="24"/>
        </w:rPr>
        <w:t xml:space="preserve">truleg </w:t>
      </w:r>
      <w:r w:rsidR="00A17941">
        <w:rPr>
          <w:sz w:val="24"/>
          <w:szCs w:val="24"/>
        </w:rPr>
        <w:t>om lag den same situasjonen som i 2009, der NIFU viste at 71 prosent av søkjarane til dåverande Uni</w:t>
      </w:r>
      <w:r w:rsidR="00647C87">
        <w:rPr>
          <w:sz w:val="24"/>
          <w:szCs w:val="24"/>
        </w:rPr>
        <w:t xml:space="preserve">versitetet i Tromsø (som </w:t>
      </w:r>
      <w:r w:rsidR="00A17941">
        <w:rPr>
          <w:sz w:val="24"/>
          <w:szCs w:val="24"/>
        </w:rPr>
        <w:t xml:space="preserve">var lokalisert i Tromsø) var frå Nord-Noreg. Figuren under viser at dette mønsteret ikkje er særskilt </w:t>
      </w:r>
      <w:r w:rsidR="00A22A50">
        <w:rPr>
          <w:sz w:val="24"/>
          <w:szCs w:val="24"/>
        </w:rPr>
        <w:t>for</w:t>
      </w:r>
      <w:r w:rsidR="00A17941">
        <w:rPr>
          <w:sz w:val="24"/>
          <w:szCs w:val="24"/>
        </w:rPr>
        <w:t xml:space="preserve"> Nord-Noreg.</w:t>
      </w:r>
    </w:p>
    <w:p w14:paraId="22A18069" w14:textId="77777777" w:rsidR="007053A2" w:rsidRPr="000E4462" w:rsidRDefault="007053A2" w:rsidP="00361948">
      <w:pPr>
        <w:rPr>
          <w:sz w:val="24"/>
          <w:szCs w:val="24"/>
        </w:rPr>
      </w:pPr>
    </w:p>
    <w:tbl>
      <w:tblPr>
        <w:tblStyle w:val="Tabellrutenett"/>
        <w:tblW w:w="0" w:type="auto"/>
        <w:tblLook w:val="04A0" w:firstRow="1" w:lastRow="0" w:firstColumn="1" w:lastColumn="0" w:noHBand="0" w:noVBand="1"/>
      </w:tblPr>
      <w:tblGrid>
        <w:gridCol w:w="3020"/>
        <w:gridCol w:w="3021"/>
        <w:gridCol w:w="3021"/>
      </w:tblGrid>
      <w:tr w:rsidR="007053A2" w14:paraId="7F5B94C3" w14:textId="77777777" w:rsidTr="007053A2">
        <w:tc>
          <w:tcPr>
            <w:tcW w:w="3020" w:type="dxa"/>
          </w:tcPr>
          <w:p w14:paraId="28C7F6AA" w14:textId="77777777" w:rsidR="007053A2" w:rsidRPr="007053A2" w:rsidRDefault="007053A2" w:rsidP="00361948">
            <w:pPr>
              <w:rPr>
                <w:noProof/>
                <w:sz w:val="24"/>
                <w:szCs w:val="24"/>
                <w:lang w:val="nb-NO" w:eastAsia="nb-NO"/>
              </w:rPr>
            </w:pPr>
            <w:r w:rsidRPr="007053A2">
              <w:rPr>
                <w:noProof/>
                <w:sz w:val="24"/>
                <w:szCs w:val="24"/>
                <w:lang w:val="nb-NO" w:eastAsia="nb-NO"/>
              </w:rPr>
              <w:t>UiT Norges arktiske universitet</w:t>
            </w:r>
          </w:p>
        </w:tc>
        <w:tc>
          <w:tcPr>
            <w:tcW w:w="3021" w:type="dxa"/>
          </w:tcPr>
          <w:p w14:paraId="1A4EAC48" w14:textId="77777777" w:rsidR="007053A2" w:rsidRPr="007053A2" w:rsidRDefault="007053A2" w:rsidP="00361948">
            <w:pPr>
              <w:rPr>
                <w:noProof/>
                <w:sz w:val="24"/>
                <w:szCs w:val="24"/>
                <w:lang w:val="nb-NO" w:eastAsia="nb-NO"/>
              </w:rPr>
            </w:pPr>
            <w:r>
              <w:rPr>
                <w:noProof/>
                <w:sz w:val="24"/>
                <w:szCs w:val="24"/>
                <w:lang w:val="nb-NO" w:eastAsia="nb-NO"/>
              </w:rPr>
              <w:t>52 % Troms og Finnmark</w:t>
            </w:r>
          </w:p>
        </w:tc>
        <w:tc>
          <w:tcPr>
            <w:tcW w:w="3021" w:type="dxa"/>
          </w:tcPr>
          <w:p w14:paraId="5733F56F" w14:textId="77777777" w:rsidR="007053A2" w:rsidRPr="007053A2" w:rsidRDefault="007053A2" w:rsidP="00361948">
            <w:pPr>
              <w:rPr>
                <w:noProof/>
                <w:sz w:val="24"/>
                <w:szCs w:val="24"/>
                <w:lang w:val="nb-NO" w:eastAsia="nb-NO"/>
              </w:rPr>
            </w:pPr>
            <w:r>
              <w:rPr>
                <w:noProof/>
                <w:sz w:val="24"/>
                <w:szCs w:val="24"/>
                <w:lang w:val="nb-NO" w:eastAsia="nb-NO"/>
              </w:rPr>
              <w:t>67 % Nord-Noreg</w:t>
            </w:r>
          </w:p>
        </w:tc>
      </w:tr>
      <w:tr w:rsidR="007053A2" w14:paraId="29D3AEFC" w14:textId="77777777" w:rsidTr="007053A2">
        <w:tc>
          <w:tcPr>
            <w:tcW w:w="3020" w:type="dxa"/>
          </w:tcPr>
          <w:p w14:paraId="7766FD30" w14:textId="77777777" w:rsidR="007053A2" w:rsidRPr="007053A2" w:rsidRDefault="007053A2" w:rsidP="00361948">
            <w:pPr>
              <w:rPr>
                <w:noProof/>
                <w:sz w:val="24"/>
                <w:szCs w:val="24"/>
                <w:lang w:val="nb-NO" w:eastAsia="nb-NO"/>
              </w:rPr>
            </w:pPr>
            <w:r>
              <w:rPr>
                <w:noProof/>
                <w:sz w:val="24"/>
                <w:szCs w:val="24"/>
                <w:lang w:val="nb-NO" w:eastAsia="nb-NO"/>
              </w:rPr>
              <w:t>Nord universitet</w:t>
            </w:r>
          </w:p>
        </w:tc>
        <w:tc>
          <w:tcPr>
            <w:tcW w:w="3021" w:type="dxa"/>
          </w:tcPr>
          <w:p w14:paraId="450C207C" w14:textId="77777777" w:rsidR="007053A2" w:rsidRPr="007053A2" w:rsidRDefault="007053A2" w:rsidP="00361948">
            <w:pPr>
              <w:rPr>
                <w:noProof/>
                <w:sz w:val="24"/>
                <w:szCs w:val="24"/>
                <w:lang w:val="nb-NO" w:eastAsia="nb-NO"/>
              </w:rPr>
            </w:pPr>
            <w:r>
              <w:rPr>
                <w:noProof/>
                <w:sz w:val="24"/>
                <w:szCs w:val="24"/>
                <w:lang w:val="nb-NO" w:eastAsia="nb-NO"/>
              </w:rPr>
              <w:t>62 % Nordland og N-Trøndelag</w:t>
            </w:r>
          </w:p>
        </w:tc>
        <w:tc>
          <w:tcPr>
            <w:tcW w:w="3021" w:type="dxa"/>
          </w:tcPr>
          <w:p w14:paraId="7D470D3C" w14:textId="77777777" w:rsidR="007053A2" w:rsidRPr="007053A2" w:rsidRDefault="007053A2" w:rsidP="00361948">
            <w:pPr>
              <w:rPr>
                <w:noProof/>
                <w:sz w:val="24"/>
                <w:szCs w:val="24"/>
                <w:lang w:val="nb-NO" w:eastAsia="nb-NO"/>
              </w:rPr>
            </w:pPr>
            <w:r>
              <w:rPr>
                <w:noProof/>
                <w:sz w:val="24"/>
                <w:szCs w:val="24"/>
                <w:lang w:val="nb-NO" w:eastAsia="nb-NO"/>
              </w:rPr>
              <w:t>44 % Nord-Noreg</w:t>
            </w:r>
          </w:p>
        </w:tc>
      </w:tr>
      <w:tr w:rsidR="007053A2" w:rsidRPr="007053A2" w14:paraId="0F93B14B" w14:textId="77777777" w:rsidTr="007053A2">
        <w:tc>
          <w:tcPr>
            <w:tcW w:w="3020" w:type="dxa"/>
          </w:tcPr>
          <w:p w14:paraId="38ECBA83" w14:textId="77777777" w:rsidR="007053A2" w:rsidRPr="007053A2" w:rsidRDefault="007053A2" w:rsidP="00361948">
            <w:pPr>
              <w:rPr>
                <w:noProof/>
                <w:sz w:val="24"/>
                <w:szCs w:val="24"/>
                <w:lang w:val="nb-NO" w:eastAsia="nb-NO"/>
              </w:rPr>
            </w:pPr>
            <w:r>
              <w:rPr>
                <w:noProof/>
                <w:sz w:val="24"/>
                <w:szCs w:val="24"/>
                <w:lang w:val="nb-NO" w:eastAsia="nb-NO"/>
              </w:rPr>
              <w:t>Universitetet i Bergen</w:t>
            </w:r>
          </w:p>
        </w:tc>
        <w:tc>
          <w:tcPr>
            <w:tcW w:w="3021" w:type="dxa"/>
          </w:tcPr>
          <w:p w14:paraId="6CBBF992" w14:textId="77777777" w:rsidR="007053A2" w:rsidRPr="007053A2" w:rsidRDefault="007053A2" w:rsidP="00361948">
            <w:pPr>
              <w:rPr>
                <w:noProof/>
                <w:sz w:val="24"/>
                <w:szCs w:val="24"/>
                <w:lang w:eastAsia="nb-NO"/>
              </w:rPr>
            </w:pPr>
            <w:r w:rsidRPr="007053A2">
              <w:rPr>
                <w:noProof/>
                <w:sz w:val="24"/>
                <w:szCs w:val="24"/>
                <w:lang w:eastAsia="nb-NO"/>
              </w:rPr>
              <w:t>55 % Hordaland og Sogn og Fjordane</w:t>
            </w:r>
          </w:p>
        </w:tc>
        <w:tc>
          <w:tcPr>
            <w:tcW w:w="3021" w:type="dxa"/>
          </w:tcPr>
          <w:p w14:paraId="026248E9" w14:textId="77777777" w:rsidR="007053A2" w:rsidRPr="007053A2" w:rsidRDefault="007053A2" w:rsidP="00361948">
            <w:pPr>
              <w:rPr>
                <w:noProof/>
                <w:sz w:val="24"/>
                <w:szCs w:val="24"/>
                <w:lang w:eastAsia="nb-NO"/>
              </w:rPr>
            </w:pPr>
          </w:p>
        </w:tc>
      </w:tr>
      <w:tr w:rsidR="007053A2" w14:paraId="13D6A2DD" w14:textId="77777777" w:rsidTr="007053A2">
        <w:tc>
          <w:tcPr>
            <w:tcW w:w="3020" w:type="dxa"/>
          </w:tcPr>
          <w:p w14:paraId="300548E4" w14:textId="77777777" w:rsidR="007053A2" w:rsidRPr="007053A2" w:rsidRDefault="007053A2" w:rsidP="00361948">
            <w:pPr>
              <w:rPr>
                <w:noProof/>
                <w:sz w:val="24"/>
                <w:szCs w:val="24"/>
                <w:lang w:val="nb-NO" w:eastAsia="nb-NO"/>
              </w:rPr>
            </w:pPr>
            <w:r>
              <w:rPr>
                <w:noProof/>
                <w:sz w:val="24"/>
                <w:szCs w:val="24"/>
                <w:lang w:val="nb-NO" w:eastAsia="nb-NO"/>
              </w:rPr>
              <w:t>Universitetet i Stavanger</w:t>
            </w:r>
          </w:p>
        </w:tc>
        <w:tc>
          <w:tcPr>
            <w:tcW w:w="3021" w:type="dxa"/>
          </w:tcPr>
          <w:p w14:paraId="55CA179C" w14:textId="77777777" w:rsidR="007053A2" w:rsidRPr="007053A2" w:rsidRDefault="007053A2" w:rsidP="00361948">
            <w:pPr>
              <w:rPr>
                <w:noProof/>
                <w:sz w:val="24"/>
                <w:szCs w:val="24"/>
                <w:lang w:val="nb-NO" w:eastAsia="nb-NO"/>
              </w:rPr>
            </w:pPr>
            <w:r>
              <w:rPr>
                <w:noProof/>
                <w:sz w:val="24"/>
                <w:szCs w:val="24"/>
                <w:lang w:val="nb-NO" w:eastAsia="nb-NO"/>
              </w:rPr>
              <w:t>73 % Rogaland</w:t>
            </w:r>
          </w:p>
        </w:tc>
        <w:tc>
          <w:tcPr>
            <w:tcW w:w="3021" w:type="dxa"/>
          </w:tcPr>
          <w:p w14:paraId="44F8B222" w14:textId="77777777" w:rsidR="007053A2" w:rsidRPr="007053A2" w:rsidRDefault="007053A2" w:rsidP="00361948">
            <w:pPr>
              <w:rPr>
                <w:noProof/>
                <w:sz w:val="24"/>
                <w:szCs w:val="24"/>
                <w:lang w:val="nb-NO" w:eastAsia="nb-NO"/>
              </w:rPr>
            </w:pPr>
          </w:p>
        </w:tc>
      </w:tr>
      <w:tr w:rsidR="007053A2" w14:paraId="2FEC698B" w14:textId="77777777" w:rsidTr="007053A2">
        <w:tc>
          <w:tcPr>
            <w:tcW w:w="3020" w:type="dxa"/>
          </w:tcPr>
          <w:p w14:paraId="2C32A9F7" w14:textId="77777777" w:rsidR="007053A2" w:rsidRPr="007053A2" w:rsidRDefault="007053A2" w:rsidP="00361948">
            <w:pPr>
              <w:rPr>
                <w:noProof/>
                <w:sz w:val="24"/>
                <w:szCs w:val="24"/>
                <w:lang w:val="nb-NO" w:eastAsia="nb-NO"/>
              </w:rPr>
            </w:pPr>
            <w:r>
              <w:rPr>
                <w:noProof/>
                <w:sz w:val="24"/>
                <w:szCs w:val="24"/>
                <w:lang w:val="nb-NO" w:eastAsia="nb-NO"/>
              </w:rPr>
              <w:t>Universitetet i Agder</w:t>
            </w:r>
          </w:p>
        </w:tc>
        <w:tc>
          <w:tcPr>
            <w:tcW w:w="3021" w:type="dxa"/>
          </w:tcPr>
          <w:p w14:paraId="2EAF2C9E" w14:textId="77777777" w:rsidR="007053A2" w:rsidRPr="007053A2" w:rsidRDefault="000E31AC" w:rsidP="00361948">
            <w:pPr>
              <w:rPr>
                <w:noProof/>
                <w:sz w:val="24"/>
                <w:szCs w:val="24"/>
                <w:lang w:val="nb-NO" w:eastAsia="nb-NO"/>
              </w:rPr>
            </w:pPr>
            <w:r>
              <w:rPr>
                <w:noProof/>
                <w:sz w:val="24"/>
                <w:szCs w:val="24"/>
                <w:lang w:val="nb-NO" w:eastAsia="nb-NO"/>
              </w:rPr>
              <w:t>60 % Agder</w:t>
            </w:r>
          </w:p>
        </w:tc>
        <w:tc>
          <w:tcPr>
            <w:tcW w:w="3021" w:type="dxa"/>
          </w:tcPr>
          <w:p w14:paraId="114F729B" w14:textId="77777777" w:rsidR="007053A2" w:rsidRPr="007053A2" w:rsidRDefault="007053A2" w:rsidP="00361948">
            <w:pPr>
              <w:rPr>
                <w:noProof/>
                <w:sz w:val="24"/>
                <w:szCs w:val="24"/>
                <w:lang w:val="nb-NO" w:eastAsia="nb-NO"/>
              </w:rPr>
            </w:pPr>
          </w:p>
        </w:tc>
      </w:tr>
      <w:tr w:rsidR="007053A2" w14:paraId="30213B53" w14:textId="77777777" w:rsidTr="007053A2">
        <w:tc>
          <w:tcPr>
            <w:tcW w:w="3020" w:type="dxa"/>
          </w:tcPr>
          <w:p w14:paraId="1B99CD0B" w14:textId="77777777" w:rsidR="007053A2" w:rsidRPr="007053A2" w:rsidRDefault="007053A2" w:rsidP="00361948">
            <w:pPr>
              <w:rPr>
                <w:noProof/>
                <w:sz w:val="24"/>
                <w:szCs w:val="24"/>
                <w:lang w:val="nb-NO" w:eastAsia="nb-NO"/>
              </w:rPr>
            </w:pPr>
            <w:r>
              <w:rPr>
                <w:noProof/>
                <w:sz w:val="24"/>
                <w:szCs w:val="24"/>
                <w:lang w:val="nb-NO" w:eastAsia="nb-NO"/>
              </w:rPr>
              <w:t>Universitetet i Oslo</w:t>
            </w:r>
          </w:p>
        </w:tc>
        <w:tc>
          <w:tcPr>
            <w:tcW w:w="3021" w:type="dxa"/>
          </w:tcPr>
          <w:p w14:paraId="765BE6C6" w14:textId="77777777" w:rsidR="007053A2" w:rsidRPr="007053A2" w:rsidRDefault="000E31AC" w:rsidP="00361948">
            <w:pPr>
              <w:rPr>
                <w:noProof/>
                <w:sz w:val="24"/>
                <w:szCs w:val="24"/>
                <w:lang w:val="nb-NO" w:eastAsia="nb-NO"/>
              </w:rPr>
            </w:pPr>
            <w:r>
              <w:rPr>
                <w:noProof/>
                <w:sz w:val="24"/>
                <w:szCs w:val="24"/>
                <w:lang w:val="nb-NO" w:eastAsia="nb-NO"/>
              </w:rPr>
              <w:t>61 % Oslo og Akershus</w:t>
            </w:r>
          </w:p>
        </w:tc>
        <w:tc>
          <w:tcPr>
            <w:tcW w:w="3021" w:type="dxa"/>
          </w:tcPr>
          <w:p w14:paraId="3EB13A95" w14:textId="77777777" w:rsidR="007053A2" w:rsidRPr="007053A2" w:rsidRDefault="000E31AC" w:rsidP="00361948">
            <w:pPr>
              <w:rPr>
                <w:noProof/>
                <w:sz w:val="24"/>
                <w:szCs w:val="24"/>
                <w:lang w:val="nb-NO" w:eastAsia="nb-NO"/>
              </w:rPr>
            </w:pPr>
            <w:r>
              <w:rPr>
                <w:noProof/>
                <w:sz w:val="24"/>
                <w:szCs w:val="24"/>
                <w:lang w:val="nb-NO" w:eastAsia="nb-NO"/>
              </w:rPr>
              <w:t>71 % Viken</w:t>
            </w:r>
          </w:p>
        </w:tc>
      </w:tr>
      <w:tr w:rsidR="007053A2" w14:paraId="6C422749" w14:textId="77777777" w:rsidTr="007053A2">
        <w:tc>
          <w:tcPr>
            <w:tcW w:w="3020" w:type="dxa"/>
          </w:tcPr>
          <w:p w14:paraId="05EDA6CA" w14:textId="77777777" w:rsidR="007053A2" w:rsidRPr="007053A2" w:rsidRDefault="007053A2" w:rsidP="00361948">
            <w:pPr>
              <w:rPr>
                <w:noProof/>
                <w:sz w:val="24"/>
                <w:szCs w:val="24"/>
                <w:lang w:val="nb-NO" w:eastAsia="nb-NO"/>
              </w:rPr>
            </w:pPr>
            <w:r>
              <w:rPr>
                <w:noProof/>
                <w:sz w:val="24"/>
                <w:szCs w:val="24"/>
                <w:lang w:val="nb-NO" w:eastAsia="nb-NO"/>
              </w:rPr>
              <w:t>OsloMet</w:t>
            </w:r>
          </w:p>
        </w:tc>
        <w:tc>
          <w:tcPr>
            <w:tcW w:w="3021" w:type="dxa"/>
          </w:tcPr>
          <w:p w14:paraId="09243960" w14:textId="77777777" w:rsidR="007053A2" w:rsidRPr="007053A2" w:rsidRDefault="000E31AC" w:rsidP="00361948">
            <w:pPr>
              <w:rPr>
                <w:noProof/>
                <w:sz w:val="24"/>
                <w:szCs w:val="24"/>
                <w:lang w:val="nb-NO" w:eastAsia="nb-NO"/>
              </w:rPr>
            </w:pPr>
            <w:r>
              <w:rPr>
                <w:noProof/>
                <w:sz w:val="24"/>
                <w:szCs w:val="24"/>
                <w:lang w:val="nb-NO" w:eastAsia="nb-NO"/>
              </w:rPr>
              <w:t>63 % Oslo og Akershus</w:t>
            </w:r>
          </w:p>
        </w:tc>
        <w:tc>
          <w:tcPr>
            <w:tcW w:w="3021" w:type="dxa"/>
          </w:tcPr>
          <w:p w14:paraId="4DB9CEDF" w14:textId="77777777" w:rsidR="007053A2" w:rsidRPr="007053A2" w:rsidRDefault="000E31AC" w:rsidP="00361948">
            <w:pPr>
              <w:rPr>
                <w:noProof/>
                <w:sz w:val="24"/>
                <w:szCs w:val="24"/>
                <w:lang w:val="nb-NO" w:eastAsia="nb-NO"/>
              </w:rPr>
            </w:pPr>
            <w:r>
              <w:rPr>
                <w:noProof/>
                <w:sz w:val="24"/>
                <w:szCs w:val="24"/>
                <w:lang w:val="nb-NO" w:eastAsia="nb-NO"/>
              </w:rPr>
              <w:t>72 % Viken</w:t>
            </w:r>
          </w:p>
        </w:tc>
      </w:tr>
      <w:tr w:rsidR="007053A2" w14:paraId="1FA59814" w14:textId="77777777" w:rsidTr="007053A2">
        <w:tc>
          <w:tcPr>
            <w:tcW w:w="3020" w:type="dxa"/>
          </w:tcPr>
          <w:p w14:paraId="40EA1966" w14:textId="77777777" w:rsidR="007053A2" w:rsidRPr="007053A2" w:rsidRDefault="007053A2" w:rsidP="00361948">
            <w:pPr>
              <w:rPr>
                <w:noProof/>
                <w:sz w:val="24"/>
                <w:szCs w:val="24"/>
                <w:lang w:val="nb-NO" w:eastAsia="nb-NO"/>
              </w:rPr>
            </w:pPr>
            <w:r>
              <w:rPr>
                <w:noProof/>
                <w:sz w:val="24"/>
                <w:szCs w:val="24"/>
                <w:lang w:val="nb-NO" w:eastAsia="nb-NO"/>
              </w:rPr>
              <w:t>NTNU</w:t>
            </w:r>
          </w:p>
        </w:tc>
        <w:tc>
          <w:tcPr>
            <w:tcW w:w="3021" w:type="dxa"/>
          </w:tcPr>
          <w:p w14:paraId="6FDD3DE3" w14:textId="77777777" w:rsidR="007053A2" w:rsidRPr="007053A2" w:rsidRDefault="000E31AC" w:rsidP="00361948">
            <w:pPr>
              <w:rPr>
                <w:noProof/>
                <w:sz w:val="24"/>
                <w:szCs w:val="24"/>
                <w:lang w:val="nb-NO" w:eastAsia="nb-NO"/>
              </w:rPr>
            </w:pPr>
            <w:r>
              <w:rPr>
                <w:noProof/>
                <w:sz w:val="24"/>
                <w:szCs w:val="24"/>
                <w:lang w:val="nb-NO" w:eastAsia="nb-NO"/>
              </w:rPr>
              <w:t>31 % Trøndelag</w:t>
            </w:r>
          </w:p>
        </w:tc>
        <w:tc>
          <w:tcPr>
            <w:tcW w:w="3021" w:type="dxa"/>
          </w:tcPr>
          <w:p w14:paraId="159C1385" w14:textId="77777777" w:rsidR="007053A2" w:rsidRPr="007053A2" w:rsidRDefault="007053A2" w:rsidP="00361948">
            <w:pPr>
              <w:rPr>
                <w:noProof/>
                <w:sz w:val="24"/>
                <w:szCs w:val="24"/>
                <w:lang w:val="nb-NO" w:eastAsia="nb-NO"/>
              </w:rPr>
            </w:pPr>
          </w:p>
        </w:tc>
      </w:tr>
    </w:tbl>
    <w:p w14:paraId="4B5C34F5" w14:textId="0929FD2F" w:rsidR="000E4462" w:rsidRDefault="00BB2E39" w:rsidP="00361948">
      <w:pPr>
        <w:rPr>
          <w:sz w:val="24"/>
          <w:szCs w:val="24"/>
        </w:rPr>
      </w:pPr>
      <w:r>
        <w:rPr>
          <w:sz w:val="24"/>
          <w:szCs w:val="24"/>
        </w:rPr>
        <w:t>Figur 1: Studentrekruttering – regional fordeling</w:t>
      </w:r>
      <w:r w:rsidR="00A46222">
        <w:rPr>
          <w:sz w:val="24"/>
          <w:szCs w:val="24"/>
        </w:rPr>
        <w:t>.</w:t>
      </w:r>
    </w:p>
    <w:p w14:paraId="2B6868EE" w14:textId="236CC560" w:rsidR="00A17941" w:rsidRDefault="00D10319" w:rsidP="00361948">
      <w:pPr>
        <w:rPr>
          <w:sz w:val="24"/>
          <w:szCs w:val="24"/>
        </w:rPr>
      </w:pPr>
      <w:r>
        <w:rPr>
          <w:sz w:val="24"/>
          <w:szCs w:val="24"/>
        </w:rPr>
        <w:t xml:space="preserve">I </w:t>
      </w:r>
      <w:r w:rsidR="00A17941">
        <w:rPr>
          <w:sz w:val="24"/>
          <w:szCs w:val="24"/>
        </w:rPr>
        <w:t>Osloregione</w:t>
      </w:r>
      <w:r w:rsidR="00C9217C">
        <w:rPr>
          <w:sz w:val="24"/>
          <w:szCs w:val="24"/>
        </w:rPr>
        <w:t xml:space="preserve">n </w:t>
      </w:r>
      <w:r>
        <w:rPr>
          <w:sz w:val="24"/>
          <w:szCs w:val="24"/>
        </w:rPr>
        <w:t xml:space="preserve">er tala svært like dei </w:t>
      </w:r>
      <w:r w:rsidR="002F3B1D">
        <w:rPr>
          <w:sz w:val="24"/>
          <w:szCs w:val="24"/>
        </w:rPr>
        <w:t xml:space="preserve">i </w:t>
      </w:r>
      <w:r>
        <w:rPr>
          <w:sz w:val="24"/>
          <w:szCs w:val="24"/>
        </w:rPr>
        <w:t>nord. Ved UiO og OsloMet</w:t>
      </w:r>
      <w:r>
        <w:rPr>
          <w:rStyle w:val="Fotnotereferanse"/>
          <w:sz w:val="24"/>
          <w:szCs w:val="24"/>
        </w:rPr>
        <w:footnoteReference w:id="12"/>
      </w:r>
      <w:r>
        <w:rPr>
          <w:sz w:val="24"/>
          <w:szCs w:val="24"/>
        </w:rPr>
        <w:t xml:space="preserve">  var hhv</w:t>
      </w:r>
      <w:r w:rsidR="00647C87">
        <w:rPr>
          <w:sz w:val="24"/>
          <w:szCs w:val="24"/>
        </w:rPr>
        <w:t xml:space="preserve">. 71 -  og 72 prosent av dei </w:t>
      </w:r>
      <w:r>
        <w:rPr>
          <w:sz w:val="24"/>
          <w:szCs w:val="24"/>
        </w:rPr>
        <w:t xml:space="preserve">møtte studentane </w:t>
      </w:r>
      <w:r w:rsidR="002F3B1D">
        <w:rPr>
          <w:sz w:val="24"/>
          <w:szCs w:val="24"/>
        </w:rPr>
        <w:t xml:space="preserve">rekruttert </w:t>
      </w:r>
      <w:r>
        <w:rPr>
          <w:sz w:val="24"/>
          <w:szCs w:val="24"/>
        </w:rPr>
        <w:t xml:space="preserve">gjennom samordna opptak frå Oslo og Viken. 61 – og 63 prosent var frå Oslo og Akershus. Det er stort sett den same fordelinga </w:t>
      </w:r>
      <w:r w:rsidR="00A22A50">
        <w:rPr>
          <w:sz w:val="24"/>
          <w:szCs w:val="24"/>
        </w:rPr>
        <w:t xml:space="preserve">som </w:t>
      </w:r>
      <w:r>
        <w:rPr>
          <w:sz w:val="24"/>
          <w:szCs w:val="24"/>
        </w:rPr>
        <w:t xml:space="preserve">ved dei andre institusjonane vi har </w:t>
      </w:r>
      <w:r w:rsidR="00C9217C">
        <w:rPr>
          <w:sz w:val="24"/>
          <w:szCs w:val="24"/>
        </w:rPr>
        <w:t>sett</w:t>
      </w:r>
      <w:r w:rsidR="007053A2">
        <w:rPr>
          <w:sz w:val="24"/>
          <w:szCs w:val="24"/>
        </w:rPr>
        <w:t xml:space="preserve"> på</w:t>
      </w:r>
      <w:r w:rsidR="00C9217C">
        <w:rPr>
          <w:sz w:val="24"/>
          <w:szCs w:val="24"/>
        </w:rPr>
        <w:t xml:space="preserve">. </w:t>
      </w:r>
      <w:r>
        <w:rPr>
          <w:sz w:val="24"/>
          <w:szCs w:val="24"/>
        </w:rPr>
        <w:t>UiS «toppar» med 73 prosent frå Rog</w:t>
      </w:r>
      <w:r w:rsidR="00C9217C">
        <w:rPr>
          <w:sz w:val="24"/>
          <w:szCs w:val="24"/>
        </w:rPr>
        <w:t>a</w:t>
      </w:r>
      <w:r>
        <w:rPr>
          <w:sz w:val="24"/>
          <w:szCs w:val="24"/>
        </w:rPr>
        <w:t>land i 2016, medan UiB har 55 prosent</w:t>
      </w:r>
      <w:r w:rsidR="00C9217C">
        <w:rPr>
          <w:sz w:val="24"/>
          <w:szCs w:val="24"/>
        </w:rPr>
        <w:t xml:space="preserve"> frå Vestland</w:t>
      </w:r>
      <w:r>
        <w:rPr>
          <w:sz w:val="24"/>
          <w:szCs w:val="24"/>
        </w:rPr>
        <w:t>. Figuren sta</w:t>
      </w:r>
      <w:r w:rsidR="00C9217C">
        <w:rPr>
          <w:sz w:val="24"/>
          <w:szCs w:val="24"/>
        </w:rPr>
        <w:t xml:space="preserve">dfestar </w:t>
      </w:r>
      <w:r>
        <w:rPr>
          <w:sz w:val="24"/>
          <w:szCs w:val="24"/>
        </w:rPr>
        <w:t xml:space="preserve">at NTNU i større grad </w:t>
      </w:r>
      <w:r w:rsidR="00C9217C">
        <w:rPr>
          <w:sz w:val="24"/>
          <w:szCs w:val="24"/>
        </w:rPr>
        <w:t xml:space="preserve">enn dei andre statlege institusjonane </w:t>
      </w:r>
      <w:r>
        <w:rPr>
          <w:sz w:val="24"/>
          <w:szCs w:val="24"/>
        </w:rPr>
        <w:t xml:space="preserve">rekrutterer nasjonalt. Dette har </w:t>
      </w:r>
      <w:r w:rsidR="00C9217C">
        <w:rPr>
          <w:sz w:val="24"/>
          <w:szCs w:val="24"/>
        </w:rPr>
        <w:t xml:space="preserve">som sagt </w:t>
      </w:r>
      <w:r>
        <w:rPr>
          <w:sz w:val="24"/>
          <w:szCs w:val="24"/>
        </w:rPr>
        <w:t xml:space="preserve">bakgrunn </w:t>
      </w:r>
      <w:r w:rsidR="00A1086B">
        <w:rPr>
          <w:sz w:val="24"/>
          <w:szCs w:val="24"/>
        </w:rPr>
        <w:t xml:space="preserve">i NTH sin </w:t>
      </w:r>
      <w:r w:rsidR="002F3B1D">
        <w:rPr>
          <w:sz w:val="24"/>
          <w:szCs w:val="24"/>
        </w:rPr>
        <w:t>historiske posisjon. U</w:t>
      </w:r>
      <w:r w:rsidR="00A1086B">
        <w:rPr>
          <w:sz w:val="24"/>
          <w:szCs w:val="24"/>
        </w:rPr>
        <w:t xml:space="preserve">formelle meldingar til underteikna seier </w:t>
      </w:r>
      <w:r w:rsidR="00C9217C">
        <w:rPr>
          <w:sz w:val="24"/>
          <w:szCs w:val="24"/>
        </w:rPr>
        <w:t xml:space="preserve">då også </w:t>
      </w:r>
      <w:r w:rsidR="00A1086B">
        <w:rPr>
          <w:sz w:val="24"/>
          <w:szCs w:val="24"/>
        </w:rPr>
        <w:t xml:space="preserve">at </w:t>
      </w:r>
      <w:r w:rsidR="002F3B1D">
        <w:rPr>
          <w:sz w:val="24"/>
          <w:szCs w:val="24"/>
        </w:rPr>
        <w:t xml:space="preserve">rekrutteringa til </w:t>
      </w:r>
      <w:r w:rsidR="00934C89">
        <w:rPr>
          <w:sz w:val="24"/>
          <w:szCs w:val="24"/>
        </w:rPr>
        <w:t>humanistiske – og samfunnsfag ved NTNU</w:t>
      </w:r>
      <w:r w:rsidR="00A1086B">
        <w:rPr>
          <w:sz w:val="24"/>
          <w:szCs w:val="24"/>
        </w:rPr>
        <w:t>, og seinare lærarutdanninga</w:t>
      </w:r>
      <w:r w:rsidR="002F3B1D">
        <w:rPr>
          <w:sz w:val="24"/>
          <w:szCs w:val="24"/>
        </w:rPr>
        <w:t>,</w:t>
      </w:r>
      <w:r w:rsidR="00A1086B">
        <w:rPr>
          <w:sz w:val="24"/>
          <w:szCs w:val="24"/>
        </w:rPr>
        <w:t xml:space="preserve"> er som </w:t>
      </w:r>
      <w:r w:rsidR="00C9217C">
        <w:rPr>
          <w:sz w:val="24"/>
          <w:szCs w:val="24"/>
        </w:rPr>
        <w:t xml:space="preserve">det geografiske </w:t>
      </w:r>
      <w:r w:rsidR="00A1086B">
        <w:rPr>
          <w:sz w:val="24"/>
          <w:szCs w:val="24"/>
        </w:rPr>
        <w:t>mønsteret ved dei andre institusjonane.</w:t>
      </w:r>
    </w:p>
    <w:p w14:paraId="2EBD6738" w14:textId="415DB323" w:rsidR="00164FC0" w:rsidRDefault="00164FC0" w:rsidP="00361948">
      <w:pPr>
        <w:rPr>
          <w:sz w:val="24"/>
          <w:szCs w:val="24"/>
        </w:rPr>
      </w:pPr>
      <w:r>
        <w:rPr>
          <w:sz w:val="24"/>
          <w:szCs w:val="24"/>
        </w:rPr>
        <w:t xml:space="preserve">Ofte </w:t>
      </w:r>
      <w:r w:rsidR="00C9217C">
        <w:rPr>
          <w:sz w:val="24"/>
          <w:szCs w:val="24"/>
        </w:rPr>
        <w:t xml:space="preserve">reises spørsmålet </w:t>
      </w:r>
      <w:r w:rsidR="00A1086B">
        <w:rPr>
          <w:sz w:val="24"/>
          <w:szCs w:val="24"/>
        </w:rPr>
        <w:t>om fusjonane me</w:t>
      </w:r>
      <w:r w:rsidR="00C9217C">
        <w:rPr>
          <w:sz w:val="24"/>
          <w:szCs w:val="24"/>
        </w:rPr>
        <w:t xml:space="preserve">llom </w:t>
      </w:r>
      <w:r w:rsidR="00A1086B">
        <w:rPr>
          <w:sz w:val="24"/>
          <w:szCs w:val="24"/>
        </w:rPr>
        <w:t xml:space="preserve">høgskolar </w:t>
      </w:r>
      <w:r w:rsidR="00C9217C">
        <w:rPr>
          <w:sz w:val="24"/>
          <w:szCs w:val="24"/>
        </w:rPr>
        <w:t xml:space="preserve">og universitet </w:t>
      </w:r>
      <w:r w:rsidR="00A1086B">
        <w:rPr>
          <w:sz w:val="24"/>
          <w:szCs w:val="24"/>
        </w:rPr>
        <w:t>har påverka dette biletet</w:t>
      </w:r>
      <w:r>
        <w:rPr>
          <w:sz w:val="24"/>
          <w:szCs w:val="24"/>
        </w:rPr>
        <w:t xml:space="preserve">. </w:t>
      </w:r>
      <w:r w:rsidR="00A1086B">
        <w:rPr>
          <w:sz w:val="24"/>
          <w:szCs w:val="24"/>
        </w:rPr>
        <w:t>UiT-data</w:t>
      </w:r>
      <w:r w:rsidR="00B24FE0">
        <w:rPr>
          <w:rStyle w:val="Fotnotereferanse"/>
          <w:sz w:val="24"/>
          <w:szCs w:val="24"/>
        </w:rPr>
        <w:footnoteReference w:id="13"/>
      </w:r>
      <w:r w:rsidR="00A1086B">
        <w:rPr>
          <w:sz w:val="24"/>
          <w:szCs w:val="24"/>
        </w:rPr>
        <w:t xml:space="preserve"> viser at fusjonane med Høgskolane i Finnmark (2013), Narvik (2016) og Harstad (2016)</w:t>
      </w:r>
      <w:r w:rsidR="00C9217C">
        <w:rPr>
          <w:sz w:val="24"/>
          <w:szCs w:val="24"/>
        </w:rPr>
        <w:t xml:space="preserve"> </w:t>
      </w:r>
      <w:r w:rsidR="00934C89">
        <w:rPr>
          <w:sz w:val="24"/>
          <w:szCs w:val="24"/>
        </w:rPr>
        <w:t xml:space="preserve">primært </w:t>
      </w:r>
      <w:r w:rsidR="00A1086B">
        <w:rPr>
          <w:sz w:val="24"/>
          <w:szCs w:val="24"/>
        </w:rPr>
        <w:t>har stadfesta denne regionale forankringa. Søkjarar og studentar frå Nord-Nore</w:t>
      </w:r>
      <w:r>
        <w:rPr>
          <w:sz w:val="24"/>
          <w:szCs w:val="24"/>
        </w:rPr>
        <w:t>g utgjer om lag like stor del i</w:t>
      </w:r>
      <w:r w:rsidR="00A1086B">
        <w:rPr>
          <w:sz w:val="24"/>
          <w:szCs w:val="24"/>
        </w:rPr>
        <w:t xml:space="preserve"> </w:t>
      </w:r>
      <w:r w:rsidR="001612E7">
        <w:rPr>
          <w:sz w:val="24"/>
          <w:szCs w:val="24"/>
        </w:rPr>
        <w:t xml:space="preserve">Narvik, Harstad, Tromsø, Alta og Hammerfest. </w:t>
      </w:r>
      <w:r>
        <w:rPr>
          <w:sz w:val="24"/>
          <w:szCs w:val="24"/>
        </w:rPr>
        <w:t xml:space="preserve">Det som er nytt er at </w:t>
      </w:r>
      <w:r w:rsidR="00C9217C">
        <w:rPr>
          <w:sz w:val="24"/>
          <w:szCs w:val="24"/>
        </w:rPr>
        <w:t xml:space="preserve">lokal rekruttering til </w:t>
      </w:r>
      <w:r>
        <w:rPr>
          <w:sz w:val="24"/>
          <w:szCs w:val="24"/>
        </w:rPr>
        <w:t xml:space="preserve">stadar med </w:t>
      </w:r>
      <w:r w:rsidR="00C9217C">
        <w:rPr>
          <w:sz w:val="24"/>
          <w:szCs w:val="24"/>
        </w:rPr>
        <w:t xml:space="preserve">campusar utanfor Tromsø er blitt ein del av forankringa til universitetet. </w:t>
      </w:r>
      <w:r w:rsidR="007C6072">
        <w:rPr>
          <w:sz w:val="24"/>
          <w:szCs w:val="24"/>
        </w:rPr>
        <w:t xml:space="preserve">T.d. </w:t>
      </w:r>
      <w:r w:rsidR="00934C89">
        <w:rPr>
          <w:sz w:val="24"/>
          <w:szCs w:val="24"/>
        </w:rPr>
        <w:t xml:space="preserve">er </w:t>
      </w:r>
      <w:r>
        <w:rPr>
          <w:sz w:val="24"/>
          <w:szCs w:val="24"/>
        </w:rPr>
        <w:t xml:space="preserve">talet på </w:t>
      </w:r>
      <w:r w:rsidR="001612E7">
        <w:rPr>
          <w:sz w:val="24"/>
          <w:szCs w:val="24"/>
        </w:rPr>
        <w:t xml:space="preserve">studentar frå heim – og nabokommunar (pendlingsavstand) </w:t>
      </w:r>
      <w:r w:rsidR="007C6072">
        <w:rPr>
          <w:sz w:val="24"/>
          <w:szCs w:val="24"/>
        </w:rPr>
        <w:t xml:space="preserve">til </w:t>
      </w:r>
      <w:r>
        <w:rPr>
          <w:sz w:val="24"/>
          <w:szCs w:val="24"/>
        </w:rPr>
        <w:t>lokale campusar i Hammerfest og</w:t>
      </w:r>
      <w:r w:rsidR="001612E7">
        <w:rPr>
          <w:sz w:val="24"/>
          <w:szCs w:val="24"/>
        </w:rPr>
        <w:t xml:space="preserve"> i Harstad </w:t>
      </w:r>
      <w:r>
        <w:rPr>
          <w:sz w:val="24"/>
          <w:szCs w:val="24"/>
        </w:rPr>
        <w:t xml:space="preserve">er langt større </w:t>
      </w:r>
      <w:r w:rsidR="001612E7">
        <w:rPr>
          <w:sz w:val="24"/>
          <w:szCs w:val="24"/>
        </w:rPr>
        <w:t xml:space="preserve">enn </w:t>
      </w:r>
      <w:r>
        <w:rPr>
          <w:sz w:val="24"/>
          <w:szCs w:val="24"/>
        </w:rPr>
        <w:t xml:space="preserve">det ville vore utan desse campusane. </w:t>
      </w:r>
      <w:r w:rsidR="007C6072">
        <w:rPr>
          <w:sz w:val="24"/>
          <w:szCs w:val="24"/>
        </w:rPr>
        <w:t>E</w:t>
      </w:r>
      <w:r w:rsidR="001612E7">
        <w:rPr>
          <w:sz w:val="24"/>
          <w:szCs w:val="24"/>
        </w:rPr>
        <w:t xml:space="preserve">in desentralisert campusstruktur evnar </w:t>
      </w:r>
      <w:r w:rsidR="007C6072">
        <w:rPr>
          <w:sz w:val="24"/>
          <w:szCs w:val="24"/>
        </w:rPr>
        <w:t xml:space="preserve">derfor </w:t>
      </w:r>
      <w:r w:rsidR="001612E7">
        <w:rPr>
          <w:sz w:val="24"/>
          <w:szCs w:val="24"/>
        </w:rPr>
        <w:t xml:space="preserve">å gjera høgre utdanning tilgjengeleg for mange som elles ikkje ville hatt slike tilbod tilgjengeleg. </w:t>
      </w:r>
    </w:p>
    <w:p w14:paraId="5F8E48B4" w14:textId="7F4612B5" w:rsidR="007C6072" w:rsidRDefault="001612E7" w:rsidP="00361948">
      <w:pPr>
        <w:rPr>
          <w:sz w:val="24"/>
          <w:szCs w:val="24"/>
        </w:rPr>
      </w:pPr>
      <w:r>
        <w:rPr>
          <w:sz w:val="24"/>
          <w:szCs w:val="24"/>
        </w:rPr>
        <w:t xml:space="preserve">Det må også nemnast at </w:t>
      </w:r>
      <w:r w:rsidR="00164FC0">
        <w:rPr>
          <w:sz w:val="24"/>
          <w:szCs w:val="24"/>
        </w:rPr>
        <w:t xml:space="preserve">studentsamansetjinga regionalt </w:t>
      </w:r>
      <w:r w:rsidR="007C6072">
        <w:rPr>
          <w:sz w:val="24"/>
          <w:szCs w:val="24"/>
        </w:rPr>
        <w:t xml:space="preserve">må </w:t>
      </w:r>
      <w:r>
        <w:rPr>
          <w:sz w:val="24"/>
          <w:szCs w:val="24"/>
        </w:rPr>
        <w:t xml:space="preserve">tolkast i lys </w:t>
      </w:r>
      <w:r w:rsidR="00A5445B">
        <w:rPr>
          <w:sz w:val="24"/>
          <w:szCs w:val="24"/>
        </w:rPr>
        <w:t xml:space="preserve">av </w:t>
      </w:r>
      <w:r>
        <w:rPr>
          <w:sz w:val="24"/>
          <w:szCs w:val="24"/>
        </w:rPr>
        <w:t xml:space="preserve">at tidlegare høgskolar og </w:t>
      </w:r>
      <w:r w:rsidR="007C6072">
        <w:rPr>
          <w:sz w:val="24"/>
          <w:szCs w:val="24"/>
        </w:rPr>
        <w:t xml:space="preserve">no </w:t>
      </w:r>
      <w:r>
        <w:rPr>
          <w:sz w:val="24"/>
          <w:szCs w:val="24"/>
        </w:rPr>
        <w:t xml:space="preserve">campusar </w:t>
      </w:r>
      <w:r w:rsidR="00164FC0">
        <w:rPr>
          <w:sz w:val="24"/>
          <w:szCs w:val="24"/>
        </w:rPr>
        <w:t xml:space="preserve">lenge </w:t>
      </w:r>
      <w:r>
        <w:rPr>
          <w:sz w:val="24"/>
          <w:szCs w:val="24"/>
        </w:rPr>
        <w:t xml:space="preserve">har </w:t>
      </w:r>
      <w:r w:rsidR="007C6072">
        <w:rPr>
          <w:sz w:val="24"/>
          <w:szCs w:val="24"/>
        </w:rPr>
        <w:t xml:space="preserve">hatt </w:t>
      </w:r>
      <w:r>
        <w:rPr>
          <w:sz w:val="24"/>
          <w:szCs w:val="24"/>
        </w:rPr>
        <w:t>u</w:t>
      </w:r>
      <w:r w:rsidR="007C6072">
        <w:rPr>
          <w:sz w:val="24"/>
          <w:szCs w:val="24"/>
        </w:rPr>
        <w:t>li</w:t>
      </w:r>
      <w:r>
        <w:rPr>
          <w:sz w:val="24"/>
          <w:szCs w:val="24"/>
        </w:rPr>
        <w:t xml:space="preserve">ke </w:t>
      </w:r>
      <w:r w:rsidR="00164FC0">
        <w:rPr>
          <w:sz w:val="24"/>
          <w:szCs w:val="24"/>
        </w:rPr>
        <w:t xml:space="preserve">demografiske </w:t>
      </w:r>
      <w:r>
        <w:rPr>
          <w:sz w:val="24"/>
          <w:szCs w:val="24"/>
        </w:rPr>
        <w:t xml:space="preserve">rammer for rekruttering. Tromsø har </w:t>
      </w:r>
      <w:r w:rsidR="00164FC0">
        <w:rPr>
          <w:sz w:val="24"/>
          <w:szCs w:val="24"/>
        </w:rPr>
        <w:t xml:space="preserve">hatt </w:t>
      </w:r>
      <w:r>
        <w:rPr>
          <w:sz w:val="24"/>
          <w:szCs w:val="24"/>
        </w:rPr>
        <w:t>store ungdomskull</w:t>
      </w:r>
      <w:r w:rsidR="007C6072">
        <w:rPr>
          <w:sz w:val="24"/>
          <w:szCs w:val="24"/>
        </w:rPr>
        <w:t xml:space="preserve"> samanlikna med dei fleste andre område i Nord-Noreg</w:t>
      </w:r>
      <w:r>
        <w:rPr>
          <w:sz w:val="24"/>
          <w:szCs w:val="24"/>
        </w:rPr>
        <w:t xml:space="preserve">. </w:t>
      </w:r>
      <w:r>
        <w:rPr>
          <w:sz w:val="24"/>
          <w:szCs w:val="24"/>
        </w:rPr>
        <w:lastRenderedPageBreak/>
        <w:t xml:space="preserve">Høgskolane har tilpassa seg svakare </w:t>
      </w:r>
      <w:r w:rsidR="007C6072">
        <w:rPr>
          <w:sz w:val="24"/>
          <w:szCs w:val="24"/>
        </w:rPr>
        <w:t xml:space="preserve">lokalt grunnlag for rekruttering </w:t>
      </w:r>
      <w:r>
        <w:rPr>
          <w:sz w:val="24"/>
          <w:szCs w:val="24"/>
        </w:rPr>
        <w:t xml:space="preserve">gjennom å rekruttera internasjonalt. </w:t>
      </w:r>
      <w:r w:rsidR="007C6072">
        <w:rPr>
          <w:sz w:val="24"/>
          <w:szCs w:val="24"/>
        </w:rPr>
        <w:t xml:space="preserve">Og </w:t>
      </w:r>
      <w:r>
        <w:rPr>
          <w:sz w:val="24"/>
          <w:szCs w:val="24"/>
        </w:rPr>
        <w:t xml:space="preserve">Tromsø </w:t>
      </w:r>
      <w:r w:rsidR="007C6072">
        <w:rPr>
          <w:sz w:val="24"/>
          <w:szCs w:val="24"/>
        </w:rPr>
        <w:t>(</w:t>
      </w:r>
      <w:r>
        <w:rPr>
          <w:sz w:val="24"/>
          <w:szCs w:val="24"/>
        </w:rPr>
        <w:t>og Narvik</w:t>
      </w:r>
      <w:r w:rsidR="007C6072">
        <w:rPr>
          <w:sz w:val="24"/>
          <w:szCs w:val="24"/>
        </w:rPr>
        <w:t>)</w:t>
      </w:r>
      <w:r>
        <w:rPr>
          <w:sz w:val="24"/>
          <w:szCs w:val="24"/>
        </w:rPr>
        <w:t xml:space="preserve"> har studietilbod dei i stor grad har vore åleine om å ha i Nord-Noreg. </w:t>
      </w:r>
    </w:p>
    <w:p w14:paraId="7FA10600" w14:textId="77777777" w:rsidR="00164FC0" w:rsidRDefault="007C6072" w:rsidP="00361948">
      <w:pPr>
        <w:rPr>
          <w:sz w:val="24"/>
          <w:szCs w:val="24"/>
        </w:rPr>
      </w:pPr>
      <w:r w:rsidRPr="007C6072">
        <w:rPr>
          <w:i/>
          <w:sz w:val="24"/>
          <w:szCs w:val="24"/>
        </w:rPr>
        <w:t>Kan</w:t>
      </w:r>
      <w:r>
        <w:rPr>
          <w:i/>
          <w:sz w:val="24"/>
          <w:szCs w:val="24"/>
        </w:rPr>
        <w:t xml:space="preserve">didatar </w:t>
      </w:r>
      <w:r w:rsidR="000E36DF">
        <w:rPr>
          <w:i/>
          <w:sz w:val="24"/>
          <w:szCs w:val="24"/>
        </w:rPr>
        <w:t xml:space="preserve">i geografien </w:t>
      </w:r>
    </w:p>
    <w:p w14:paraId="2C227395" w14:textId="210A20FB" w:rsidR="00A17941" w:rsidRDefault="000E36DF" w:rsidP="00361948">
      <w:pPr>
        <w:rPr>
          <w:sz w:val="24"/>
          <w:szCs w:val="24"/>
        </w:rPr>
      </w:pPr>
      <w:r>
        <w:rPr>
          <w:sz w:val="24"/>
          <w:szCs w:val="24"/>
        </w:rPr>
        <w:t xml:space="preserve">Figur </w:t>
      </w:r>
      <w:r w:rsidR="00583AEE">
        <w:rPr>
          <w:sz w:val="24"/>
          <w:szCs w:val="24"/>
        </w:rPr>
        <w:t xml:space="preserve"> 2 viser den geografiske fordelinga av kandidatane </w:t>
      </w:r>
      <w:r w:rsidR="00164FC0">
        <w:rPr>
          <w:sz w:val="24"/>
          <w:szCs w:val="24"/>
        </w:rPr>
        <w:t xml:space="preserve">frå UiT </w:t>
      </w:r>
      <w:r w:rsidR="00583AEE">
        <w:rPr>
          <w:sz w:val="24"/>
          <w:szCs w:val="24"/>
        </w:rPr>
        <w:t>som går til arbeidslivet</w:t>
      </w:r>
      <w:r w:rsidR="00583AEE">
        <w:rPr>
          <w:rStyle w:val="Fotnotereferanse"/>
          <w:sz w:val="24"/>
          <w:szCs w:val="24"/>
        </w:rPr>
        <w:footnoteReference w:id="14"/>
      </w:r>
      <w:r w:rsidR="00583AEE">
        <w:rPr>
          <w:sz w:val="24"/>
          <w:szCs w:val="24"/>
        </w:rPr>
        <w:t>, der kvar søyle også viser kva som er heim</w:t>
      </w:r>
      <w:r w:rsidR="00934C89">
        <w:rPr>
          <w:sz w:val="24"/>
          <w:szCs w:val="24"/>
        </w:rPr>
        <w:t>e</w:t>
      </w:r>
      <w:r w:rsidR="00583AEE">
        <w:rPr>
          <w:sz w:val="24"/>
          <w:szCs w:val="24"/>
        </w:rPr>
        <w:t xml:space="preserve">regionen til kandidatane (ved fylte 16 år). Figuren viser </w:t>
      </w:r>
      <w:r w:rsidR="00D46A2D">
        <w:rPr>
          <w:sz w:val="24"/>
          <w:szCs w:val="24"/>
        </w:rPr>
        <w:t xml:space="preserve">at 67 prosent av kandidatane går til arbeidslivet i nord. </w:t>
      </w:r>
    </w:p>
    <w:p w14:paraId="40B8D772" w14:textId="77777777" w:rsidR="00D46A2D" w:rsidRDefault="00BB2E39" w:rsidP="00361948">
      <w:pPr>
        <w:rPr>
          <w:sz w:val="24"/>
          <w:szCs w:val="24"/>
        </w:rPr>
      </w:pPr>
      <w:r w:rsidRPr="00BB2E39">
        <w:rPr>
          <w:noProof/>
          <w:sz w:val="24"/>
          <w:szCs w:val="24"/>
          <w:lang w:val="nb-NO" w:eastAsia="nb-NO"/>
        </w:rPr>
        <w:drawing>
          <wp:inline distT="0" distB="0" distL="0" distR="0" wp14:anchorId="47E2A79D" wp14:editId="5D4507D4">
            <wp:extent cx="5760720" cy="3256280"/>
            <wp:effectExtent l="0" t="0" r="0" b="1270"/>
            <wp:docPr id="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4"/>
                    <pic:cNvPicPr>
                      <a:picLocks noChangeAspect="1"/>
                    </pic:cNvPicPr>
                  </pic:nvPicPr>
                  <pic:blipFill>
                    <a:blip r:embed="rId8"/>
                    <a:stretch>
                      <a:fillRect/>
                    </a:stretch>
                  </pic:blipFill>
                  <pic:spPr>
                    <a:xfrm>
                      <a:off x="0" y="0"/>
                      <a:ext cx="5760720" cy="3256280"/>
                    </a:xfrm>
                    <a:prstGeom prst="rect">
                      <a:avLst/>
                    </a:prstGeom>
                  </pic:spPr>
                </pic:pic>
              </a:graphicData>
            </a:graphic>
          </wp:inline>
        </w:drawing>
      </w:r>
    </w:p>
    <w:p w14:paraId="0E2E12B9" w14:textId="43F5A850" w:rsidR="00D46A2D" w:rsidRDefault="00BB2E39" w:rsidP="00361948">
      <w:pPr>
        <w:rPr>
          <w:sz w:val="24"/>
          <w:szCs w:val="24"/>
        </w:rPr>
      </w:pPr>
      <w:r>
        <w:rPr>
          <w:sz w:val="24"/>
          <w:szCs w:val="24"/>
        </w:rPr>
        <w:t>Figur 2: Kandidatar frå UiT</w:t>
      </w:r>
      <w:r w:rsidR="000E31AC">
        <w:rPr>
          <w:sz w:val="24"/>
          <w:szCs w:val="24"/>
        </w:rPr>
        <w:t>:</w:t>
      </w:r>
      <w:r>
        <w:rPr>
          <w:sz w:val="24"/>
          <w:szCs w:val="24"/>
        </w:rPr>
        <w:t xml:space="preserve"> </w:t>
      </w:r>
      <w:r w:rsidR="000E31AC">
        <w:rPr>
          <w:sz w:val="24"/>
          <w:szCs w:val="24"/>
        </w:rPr>
        <w:t>H</w:t>
      </w:r>
      <w:r>
        <w:rPr>
          <w:sz w:val="24"/>
          <w:szCs w:val="24"/>
        </w:rPr>
        <w:t>eime – og arbeidsfylke</w:t>
      </w:r>
      <w:r w:rsidR="00164FC0">
        <w:rPr>
          <w:sz w:val="24"/>
          <w:szCs w:val="24"/>
        </w:rPr>
        <w:t>.</w:t>
      </w:r>
    </w:p>
    <w:p w14:paraId="189102AD" w14:textId="0996201E" w:rsidR="00D46A2D" w:rsidRDefault="007C6072" w:rsidP="00361948">
      <w:pPr>
        <w:rPr>
          <w:sz w:val="24"/>
          <w:szCs w:val="24"/>
        </w:rPr>
      </w:pPr>
      <w:r>
        <w:rPr>
          <w:sz w:val="24"/>
          <w:szCs w:val="24"/>
        </w:rPr>
        <w:t>Søylene understrekar den</w:t>
      </w:r>
      <w:r w:rsidR="00D46A2D">
        <w:rPr>
          <w:sz w:val="24"/>
          <w:szCs w:val="24"/>
        </w:rPr>
        <w:t xml:space="preserve"> sterke koplinga mellom </w:t>
      </w:r>
      <w:r>
        <w:rPr>
          <w:sz w:val="24"/>
          <w:szCs w:val="24"/>
        </w:rPr>
        <w:t xml:space="preserve">oppvekstkommune, søking og val av studiestad </w:t>
      </w:r>
      <w:r w:rsidR="00D46A2D">
        <w:rPr>
          <w:sz w:val="24"/>
          <w:szCs w:val="24"/>
        </w:rPr>
        <w:t xml:space="preserve">og arbeid. </w:t>
      </w:r>
      <w:r w:rsidR="007C6DE3">
        <w:rPr>
          <w:sz w:val="24"/>
          <w:szCs w:val="24"/>
        </w:rPr>
        <w:t xml:space="preserve">85 – til </w:t>
      </w:r>
      <w:r w:rsidR="00D46A2D">
        <w:rPr>
          <w:sz w:val="24"/>
          <w:szCs w:val="24"/>
        </w:rPr>
        <w:t xml:space="preserve">90 prosent </w:t>
      </w:r>
      <w:r w:rsidR="00E33F8F">
        <w:rPr>
          <w:sz w:val="24"/>
          <w:szCs w:val="24"/>
        </w:rPr>
        <w:t xml:space="preserve">av studentane </w:t>
      </w:r>
      <w:r w:rsidR="00D46A2D">
        <w:rPr>
          <w:sz w:val="24"/>
          <w:szCs w:val="24"/>
        </w:rPr>
        <w:t>med heimeregio</w:t>
      </w:r>
      <w:r w:rsidR="00E33F8F">
        <w:rPr>
          <w:sz w:val="24"/>
          <w:szCs w:val="24"/>
        </w:rPr>
        <w:t>n i dei tre nordnorske fylka som</w:t>
      </w:r>
      <w:r w:rsidR="007C6DE3">
        <w:rPr>
          <w:sz w:val="24"/>
          <w:szCs w:val="24"/>
        </w:rPr>
        <w:t xml:space="preserve"> blir kandidat</w:t>
      </w:r>
      <w:r w:rsidR="00A5445B">
        <w:rPr>
          <w:sz w:val="24"/>
          <w:szCs w:val="24"/>
        </w:rPr>
        <w:t>ar</w:t>
      </w:r>
      <w:r w:rsidR="007C6DE3">
        <w:rPr>
          <w:sz w:val="24"/>
          <w:szCs w:val="24"/>
        </w:rPr>
        <w:t xml:space="preserve"> ved UiT </w:t>
      </w:r>
      <w:r w:rsidR="00164FC0">
        <w:rPr>
          <w:sz w:val="24"/>
          <w:szCs w:val="24"/>
        </w:rPr>
        <w:t>tar</w:t>
      </w:r>
      <w:r w:rsidR="00E33F8F">
        <w:rPr>
          <w:sz w:val="24"/>
          <w:szCs w:val="24"/>
        </w:rPr>
        <w:t xml:space="preserve"> jobb</w:t>
      </w:r>
      <w:r w:rsidR="007C6DE3">
        <w:rPr>
          <w:sz w:val="24"/>
          <w:szCs w:val="24"/>
        </w:rPr>
        <w:t xml:space="preserve"> i nord. Kandidatar frå Troms og Finnmark tek i stor grad jobb i heimfylket (a). </w:t>
      </w:r>
      <w:r w:rsidR="00E33F8F">
        <w:rPr>
          <w:sz w:val="24"/>
          <w:szCs w:val="24"/>
        </w:rPr>
        <w:t>Når</w:t>
      </w:r>
      <w:r w:rsidR="00124EFE">
        <w:rPr>
          <w:sz w:val="24"/>
          <w:szCs w:val="24"/>
        </w:rPr>
        <w:t xml:space="preserve"> det gjeld kandidatar frå Sør-Noreg og frå utlandet</w:t>
      </w:r>
      <w:r w:rsidR="00934C89">
        <w:rPr>
          <w:sz w:val="24"/>
          <w:szCs w:val="24"/>
        </w:rPr>
        <w:t>,</w:t>
      </w:r>
      <w:r w:rsidR="00124EFE">
        <w:rPr>
          <w:sz w:val="24"/>
          <w:szCs w:val="24"/>
        </w:rPr>
        <w:t xml:space="preserve"> </w:t>
      </w:r>
      <w:r w:rsidR="00164FC0">
        <w:rPr>
          <w:sz w:val="24"/>
          <w:szCs w:val="24"/>
        </w:rPr>
        <w:t>viser figur 2</w:t>
      </w:r>
      <w:r w:rsidR="00E33F8F">
        <w:rPr>
          <w:sz w:val="24"/>
          <w:szCs w:val="24"/>
        </w:rPr>
        <w:t xml:space="preserve"> ikkje ei </w:t>
      </w:r>
      <w:r w:rsidR="00124EFE">
        <w:rPr>
          <w:sz w:val="24"/>
          <w:szCs w:val="24"/>
        </w:rPr>
        <w:t>regionale forankri</w:t>
      </w:r>
      <w:r w:rsidR="00934C89">
        <w:rPr>
          <w:sz w:val="24"/>
          <w:szCs w:val="24"/>
        </w:rPr>
        <w:t>ng i nord. M</w:t>
      </w:r>
      <w:r w:rsidR="00124EFE">
        <w:rPr>
          <w:sz w:val="24"/>
          <w:szCs w:val="24"/>
        </w:rPr>
        <w:t>en det skjer ein «normal» regional gevinst av høgre utdanning</w:t>
      </w:r>
      <w:r w:rsidR="00934C89">
        <w:rPr>
          <w:sz w:val="24"/>
          <w:szCs w:val="24"/>
        </w:rPr>
        <w:t>,</w:t>
      </w:r>
      <w:r w:rsidR="00124EFE">
        <w:rPr>
          <w:sz w:val="24"/>
          <w:szCs w:val="24"/>
        </w:rPr>
        <w:t xml:space="preserve"> med utgangspunkt i kandidatar blir verande etter å studert noen år på ein stad</w:t>
      </w:r>
      <w:r w:rsidR="00E33F8F">
        <w:rPr>
          <w:rStyle w:val="Fotnotereferanse"/>
          <w:sz w:val="24"/>
          <w:szCs w:val="24"/>
        </w:rPr>
        <w:footnoteReference w:id="15"/>
      </w:r>
      <w:r w:rsidR="00124EFE">
        <w:rPr>
          <w:sz w:val="24"/>
          <w:szCs w:val="24"/>
        </w:rPr>
        <w:t>.</w:t>
      </w:r>
      <w:r w:rsidR="00E33F8F">
        <w:rPr>
          <w:sz w:val="24"/>
          <w:szCs w:val="24"/>
        </w:rPr>
        <w:t xml:space="preserve"> </w:t>
      </w:r>
    </w:p>
    <w:p w14:paraId="0E20548F" w14:textId="7BC49B7E" w:rsidR="00437560" w:rsidRDefault="00E33F8F">
      <w:pPr>
        <w:rPr>
          <w:sz w:val="24"/>
          <w:szCs w:val="24"/>
        </w:rPr>
      </w:pPr>
      <w:r>
        <w:rPr>
          <w:sz w:val="24"/>
          <w:szCs w:val="24"/>
        </w:rPr>
        <w:t xml:space="preserve">Kandidatanalysen frå 2017 </w:t>
      </w:r>
      <w:r w:rsidR="00124EFE">
        <w:rPr>
          <w:sz w:val="24"/>
          <w:szCs w:val="24"/>
        </w:rPr>
        <w:t xml:space="preserve">viser at </w:t>
      </w:r>
      <w:r w:rsidR="00A5445B">
        <w:rPr>
          <w:sz w:val="24"/>
          <w:szCs w:val="24"/>
        </w:rPr>
        <w:t xml:space="preserve">det </w:t>
      </w:r>
      <w:r w:rsidR="00124EFE">
        <w:rPr>
          <w:sz w:val="24"/>
          <w:szCs w:val="24"/>
        </w:rPr>
        <w:t xml:space="preserve">årleg går </w:t>
      </w:r>
      <w:r w:rsidR="00E62575" w:rsidRPr="00912E95">
        <w:rPr>
          <w:sz w:val="24"/>
          <w:szCs w:val="24"/>
        </w:rPr>
        <w:t>370 ka</w:t>
      </w:r>
      <w:r w:rsidR="001E1EA3" w:rsidRPr="00912E95">
        <w:rPr>
          <w:sz w:val="24"/>
          <w:szCs w:val="24"/>
        </w:rPr>
        <w:t>ndidatar frå UiT til Finnmark og Nord-Troms (</w:t>
      </w:r>
      <w:r w:rsidR="00124EFE">
        <w:rPr>
          <w:sz w:val="24"/>
          <w:szCs w:val="24"/>
        </w:rPr>
        <w:t xml:space="preserve">eit område </w:t>
      </w:r>
      <w:r w:rsidR="001E1EA3" w:rsidRPr="00912E95">
        <w:rPr>
          <w:sz w:val="24"/>
          <w:szCs w:val="24"/>
        </w:rPr>
        <w:t>ca</w:t>
      </w:r>
      <w:r w:rsidR="00E5132A">
        <w:rPr>
          <w:sz w:val="24"/>
          <w:szCs w:val="24"/>
        </w:rPr>
        <w:t>.</w:t>
      </w:r>
      <w:r w:rsidR="00124EFE">
        <w:rPr>
          <w:sz w:val="24"/>
          <w:szCs w:val="24"/>
        </w:rPr>
        <w:t xml:space="preserve"> 95 000 Innbyggjarar).</w:t>
      </w:r>
      <w:r w:rsidR="001E1EA3" w:rsidRPr="00912E95">
        <w:rPr>
          <w:sz w:val="24"/>
          <w:szCs w:val="24"/>
        </w:rPr>
        <w:t xml:space="preserve"> 160 </w:t>
      </w:r>
      <w:r w:rsidR="00437560">
        <w:rPr>
          <w:sz w:val="24"/>
          <w:szCs w:val="24"/>
        </w:rPr>
        <w:t xml:space="preserve">(43 prosent) </w:t>
      </w:r>
      <w:r w:rsidR="001E1EA3" w:rsidRPr="00912E95">
        <w:rPr>
          <w:sz w:val="24"/>
          <w:szCs w:val="24"/>
        </w:rPr>
        <w:t xml:space="preserve">av </w:t>
      </w:r>
      <w:r w:rsidR="00124EFE">
        <w:rPr>
          <w:sz w:val="24"/>
          <w:szCs w:val="24"/>
        </w:rPr>
        <w:t>kandidatane er utdanna i dette området, i hovudsak i Alta og i Hammerfest</w:t>
      </w:r>
      <w:r w:rsidR="00437560">
        <w:rPr>
          <w:sz w:val="24"/>
          <w:szCs w:val="24"/>
        </w:rPr>
        <w:t xml:space="preserve">. Når aktiviteten ved UiT i det området utgjer omlag 10 prosent av verksemda ved heile universitetet, er det opplagt at det er ein </w:t>
      </w:r>
      <w:r w:rsidR="00437560">
        <w:rPr>
          <w:sz w:val="24"/>
          <w:szCs w:val="24"/>
        </w:rPr>
        <w:lastRenderedPageBreak/>
        <w:t>særskilt effekt for arbeidslivet i Finnmark og Nord-Troms av universitetet sine utdanningar i denne regionen</w:t>
      </w:r>
    </w:p>
    <w:p w14:paraId="09589DC9" w14:textId="15CEFA0C" w:rsidR="00912E95" w:rsidRPr="00C234FB" w:rsidRDefault="002E7DE7">
      <w:pPr>
        <w:rPr>
          <w:sz w:val="24"/>
          <w:szCs w:val="24"/>
        </w:rPr>
      </w:pPr>
      <w:r>
        <w:rPr>
          <w:sz w:val="24"/>
          <w:szCs w:val="24"/>
        </w:rPr>
        <w:t xml:space="preserve">Eg har ikkje hatt høve til å gå gjennom kandidatundersøkingar frå andre universitet enn UiT, men eg reknar med at dei – viss dei måler dette – viser i stor grad det same. Det betyr at t.d. UiO og OsloMet er heilt avgjerande for tilboda om </w:t>
      </w:r>
      <w:r w:rsidR="00E5132A">
        <w:rPr>
          <w:sz w:val="24"/>
          <w:szCs w:val="24"/>
        </w:rPr>
        <w:t xml:space="preserve">høgre utdanning til folk i </w:t>
      </w:r>
      <w:r w:rsidR="000E36DF">
        <w:rPr>
          <w:sz w:val="24"/>
          <w:szCs w:val="24"/>
        </w:rPr>
        <w:t>«sin»</w:t>
      </w:r>
      <w:r w:rsidR="00934C89">
        <w:rPr>
          <w:sz w:val="24"/>
          <w:szCs w:val="24"/>
        </w:rPr>
        <w:t xml:space="preserve"> region</w:t>
      </w:r>
      <w:r>
        <w:rPr>
          <w:sz w:val="24"/>
          <w:szCs w:val="24"/>
        </w:rPr>
        <w:t xml:space="preserve">, samt for utviklinga i arbeidslivet der. </w:t>
      </w:r>
    </w:p>
    <w:p w14:paraId="27A9E576" w14:textId="77777777" w:rsidR="00A13F4D" w:rsidRDefault="00A13F4D">
      <w:pPr>
        <w:rPr>
          <w:sz w:val="28"/>
          <w:szCs w:val="28"/>
        </w:rPr>
      </w:pPr>
    </w:p>
    <w:p w14:paraId="3BD4B79C" w14:textId="77777777" w:rsidR="00ED60DE" w:rsidRPr="00912E95" w:rsidRDefault="00E5132A">
      <w:pPr>
        <w:rPr>
          <w:sz w:val="28"/>
          <w:szCs w:val="28"/>
        </w:rPr>
      </w:pPr>
      <w:r>
        <w:rPr>
          <w:sz w:val="28"/>
          <w:szCs w:val="28"/>
        </w:rPr>
        <w:t>Det regionale som f</w:t>
      </w:r>
      <w:r w:rsidR="00ED60DE">
        <w:rPr>
          <w:sz w:val="28"/>
          <w:szCs w:val="28"/>
        </w:rPr>
        <w:t>øresetnader for utviklinga av universiteta</w:t>
      </w:r>
    </w:p>
    <w:p w14:paraId="5F403022" w14:textId="40CF6648" w:rsidR="00912E95" w:rsidRDefault="00934C89">
      <w:pPr>
        <w:rPr>
          <w:sz w:val="24"/>
          <w:szCs w:val="24"/>
        </w:rPr>
      </w:pPr>
      <w:r>
        <w:rPr>
          <w:sz w:val="24"/>
          <w:szCs w:val="24"/>
        </w:rPr>
        <w:t xml:space="preserve">Analysen i dette kapitlet </w:t>
      </w:r>
      <w:r w:rsidR="00C07AD9">
        <w:rPr>
          <w:sz w:val="24"/>
          <w:szCs w:val="24"/>
        </w:rPr>
        <w:t xml:space="preserve">er tatt med som </w:t>
      </w:r>
      <w:r w:rsidR="007C01AB">
        <w:rPr>
          <w:sz w:val="24"/>
          <w:szCs w:val="24"/>
        </w:rPr>
        <w:t xml:space="preserve">døme på analysar som kan </w:t>
      </w:r>
      <w:r w:rsidR="00C07AD9">
        <w:rPr>
          <w:sz w:val="24"/>
          <w:szCs w:val="24"/>
        </w:rPr>
        <w:t xml:space="preserve">gjerast for å visa at sterkt regionalt forankra </w:t>
      </w:r>
      <w:r w:rsidR="007C01AB">
        <w:rPr>
          <w:sz w:val="24"/>
          <w:szCs w:val="24"/>
        </w:rPr>
        <w:t xml:space="preserve">universitet og høgskolar </w:t>
      </w:r>
      <w:r w:rsidR="00C07AD9">
        <w:rPr>
          <w:sz w:val="24"/>
          <w:szCs w:val="24"/>
        </w:rPr>
        <w:t>er del av regionar me</w:t>
      </w:r>
      <w:r>
        <w:rPr>
          <w:sz w:val="24"/>
          <w:szCs w:val="24"/>
        </w:rPr>
        <w:t xml:space="preserve">d ulike kjenneteikn </w:t>
      </w:r>
      <w:r w:rsidR="00C07AD9">
        <w:rPr>
          <w:sz w:val="24"/>
          <w:szCs w:val="24"/>
        </w:rPr>
        <w:t>og utfordringa</w:t>
      </w:r>
      <w:r w:rsidR="007C01AB">
        <w:rPr>
          <w:sz w:val="24"/>
          <w:szCs w:val="24"/>
        </w:rPr>
        <w:t xml:space="preserve">r. I </w:t>
      </w:r>
      <w:r w:rsidR="00C07AD9">
        <w:rPr>
          <w:sz w:val="24"/>
          <w:szCs w:val="24"/>
        </w:rPr>
        <w:t>døm</w:t>
      </w:r>
      <w:r w:rsidR="007C01AB">
        <w:rPr>
          <w:sz w:val="24"/>
          <w:szCs w:val="24"/>
        </w:rPr>
        <w:t>a i notatet</w:t>
      </w:r>
      <w:r w:rsidR="00C07AD9">
        <w:rPr>
          <w:sz w:val="24"/>
          <w:szCs w:val="24"/>
        </w:rPr>
        <w:t xml:space="preserve">, er </w:t>
      </w:r>
      <w:r>
        <w:rPr>
          <w:sz w:val="24"/>
          <w:szCs w:val="24"/>
        </w:rPr>
        <w:t xml:space="preserve">dei 19 </w:t>
      </w:r>
      <w:r w:rsidR="00C07AD9">
        <w:rPr>
          <w:sz w:val="24"/>
          <w:szCs w:val="24"/>
        </w:rPr>
        <w:t>fylka gjort til fire regiontypar som skil seg frå kvarandre med omsyn til omfanget av s</w:t>
      </w:r>
      <w:r w:rsidR="009E0937">
        <w:rPr>
          <w:sz w:val="24"/>
          <w:szCs w:val="24"/>
        </w:rPr>
        <w:t>amanhengande arbeidsmarknader og kor stor del desse utgjer av all sysselsetjing i dei enkelte fylka.</w:t>
      </w:r>
      <w:r w:rsidR="00C07AD9">
        <w:rPr>
          <w:sz w:val="24"/>
          <w:szCs w:val="24"/>
        </w:rPr>
        <w:t xml:space="preserve"> I Osloregionen er det mest av sli</w:t>
      </w:r>
      <w:r w:rsidR="00ED60DE">
        <w:rPr>
          <w:sz w:val="24"/>
          <w:szCs w:val="24"/>
        </w:rPr>
        <w:t>k</w:t>
      </w:r>
      <w:r w:rsidR="00C07AD9">
        <w:rPr>
          <w:sz w:val="24"/>
          <w:szCs w:val="24"/>
        </w:rPr>
        <w:t>t, i distriktsregionane er det minst</w:t>
      </w:r>
      <w:r w:rsidR="00ED60DE">
        <w:rPr>
          <w:sz w:val="24"/>
          <w:szCs w:val="24"/>
        </w:rPr>
        <w:t>. Inndelinga er slik:</w:t>
      </w:r>
    </w:p>
    <w:p w14:paraId="3C837C31" w14:textId="77777777" w:rsidR="00912E95" w:rsidRPr="007C01AB" w:rsidRDefault="009E0937" w:rsidP="007C01AB">
      <w:pPr>
        <w:pStyle w:val="Listeavsnitt"/>
        <w:numPr>
          <w:ilvl w:val="0"/>
          <w:numId w:val="5"/>
        </w:numPr>
        <w:rPr>
          <w:sz w:val="24"/>
          <w:szCs w:val="24"/>
        </w:rPr>
      </w:pPr>
      <w:r w:rsidRPr="007C01AB">
        <w:rPr>
          <w:sz w:val="24"/>
          <w:szCs w:val="24"/>
        </w:rPr>
        <w:t>Osloregionen</w:t>
      </w:r>
      <w:r w:rsidR="006B5598" w:rsidRPr="007C01AB">
        <w:rPr>
          <w:sz w:val="24"/>
          <w:szCs w:val="24"/>
        </w:rPr>
        <w:t xml:space="preserve">: </w:t>
      </w:r>
      <w:r w:rsidRPr="007C01AB">
        <w:rPr>
          <w:sz w:val="24"/>
          <w:szCs w:val="24"/>
        </w:rPr>
        <w:t>Oslo, A</w:t>
      </w:r>
      <w:r w:rsidR="006B5598" w:rsidRPr="007C01AB">
        <w:rPr>
          <w:sz w:val="24"/>
          <w:szCs w:val="24"/>
        </w:rPr>
        <w:t>kershus, Buskerud (pga</w:t>
      </w:r>
      <w:r w:rsidR="00845B17">
        <w:rPr>
          <w:sz w:val="24"/>
          <w:szCs w:val="24"/>
        </w:rPr>
        <w:t>.</w:t>
      </w:r>
      <w:r w:rsidR="006B5598" w:rsidRPr="007C01AB">
        <w:rPr>
          <w:sz w:val="24"/>
          <w:szCs w:val="24"/>
        </w:rPr>
        <w:t xml:space="preserve"> Drammen)</w:t>
      </w:r>
      <w:r w:rsidR="00A26309" w:rsidRPr="007C01AB">
        <w:rPr>
          <w:sz w:val="24"/>
          <w:szCs w:val="24"/>
        </w:rPr>
        <w:t xml:space="preserve"> - </w:t>
      </w:r>
      <w:r w:rsidR="006B5598" w:rsidRPr="007C01AB">
        <w:rPr>
          <w:sz w:val="24"/>
          <w:szCs w:val="24"/>
        </w:rPr>
        <w:t xml:space="preserve">30 prosent av </w:t>
      </w:r>
      <w:r w:rsidR="00ED60DE" w:rsidRPr="007C01AB">
        <w:rPr>
          <w:sz w:val="24"/>
          <w:szCs w:val="24"/>
        </w:rPr>
        <w:t xml:space="preserve">folkemengda i </w:t>
      </w:r>
      <w:r w:rsidR="006B5598" w:rsidRPr="007C01AB">
        <w:rPr>
          <w:sz w:val="24"/>
          <w:szCs w:val="24"/>
        </w:rPr>
        <w:t>Noreg</w:t>
      </w:r>
      <w:r w:rsidR="00ED60DE" w:rsidRPr="007C01AB">
        <w:rPr>
          <w:sz w:val="24"/>
          <w:szCs w:val="24"/>
        </w:rPr>
        <w:t>.</w:t>
      </w:r>
    </w:p>
    <w:p w14:paraId="1B403699" w14:textId="77777777" w:rsidR="00C07AD9" w:rsidRPr="007C01AB" w:rsidRDefault="00C07AD9" w:rsidP="007C01AB">
      <w:pPr>
        <w:pStyle w:val="Listeavsnitt"/>
        <w:numPr>
          <w:ilvl w:val="0"/>
          <w:numId w:val="5"/>
        </w:numPr>
        <w:rPr>
          <w:sz w:val="24"/>
          <w:szCs w:val="24"/>
        </w:rPr>
      </w:pPr>
      <w:r w:rsidRPr="007C01AB">
        <w:rPr>
          <w:sz w:val="24"/>
          <w:szCs w:val="24"/>
        </w:rPr>
        <w:t>Storbyfylke: Rogaland, Sør-Trøndelag, Hordaland</w:t>
      </w:r>
      <w:r w:rsidR="006B5598" w:rsidRPr="007C01AB">
        <w:rPr>
          <w:sz w:val="24"/>
          <w:szCs w:val="24"/>
        </w:rPr>
        <w:t xml:space="preserve"> </w:t>
      </w:r>
      <w:r w:rsidR="00A26309" w:rsidRPr="007C01AB">
        <w:rPr>
          <w:sz w:val="24"/>
          <w:szCs w:val="24"/>
        </w:rPr>
        <w:t>- 2</w:t>
      </w:r>
      <w:r w:rsidR="006B5598" w:rsidRPr="007C01AB">
        <w:rPr>
          <w:sz w:val="24"/>
          <w:szCs w:val="24"/>
        </w:rPr>
        <w:t>5 prosent av folkemengda.</w:t>
      </w:r>
    </w:p>
    <w:p w14:paraId="097B5A69" w14:textId="77777777" w:rsidR="009E0937" w:rsidRPr="007C01AB" w:rsidRDefault="009E0937" w:rsidP="007C01AB">
      <w:pPr>
        <w:pStyle w:val="Listeavsnitt"/>
        <w:numPr>
          <w:ilvl w:val="0"/>
          <w:numId w:val="5"/>
        </w:numPr>
        <w:rPr>
          <w:sz w:val="24"/>
          <w:szCs w:val="24"/>
        </w:rPr>
      </w:pPr>
      <w:r w:rsidRPr="007C01AB">
        <w:rPr>
          <w:sz w:val="24"/>
          <w:szCs w:val="24"/>
        </w:rPr>
        <w:t>Byfylke: Aust-Agder, Vest-Agder, Møre og Romsdal, Østfold, Troms, Vestfold, Telemark</w:t>
      </w:r>
      <w:r w:rsidR="00A26309" w:rsidRPr="007C01AB">
        <w:rPr>
          <w:sz w:val="24"/>
          <w:szCs w:val="24"/>
        </w:rPr>
        <w:t xml:space="preserve"> – 27 prosent av folkemengda – 27 prosent av folkemengda.</w:t>
      </w:r>
    </w:p>
    <w:p w14:paraId="5C4824EA" w14:textId="77777777" w:rsidR="009E0937" w:rsidRPr="007C01AB" w:rsidRDefault="009E0937" w:rsidP="007C01AB">
      <w:pPr>
        <w:pStyle w:val="Listeavsnitt"/>
        <w:numPr>
          <w:ilvl w:val="0"/>
          <w:numId w:val="5"/>
        </w:numPr>
        <w:rPr>
          <w:sz w:val="24"/>
          <w:szCs w:val="24"/>
        </w:rPr>
      </w:pPr>
      <w:r w:rsidRPr="007C01AB">
        <w:rPr>
          <w:sz w:val="24"/>
          <w:szCs w:val="24"/>
        </w:rPr>
        <w:t>Distriktsfylke: Oppland, Hedmark, Sogn og Fjordane, Nord-Trøndelag, Nordland, Finnmark</w:t>
      </w:r>
      <w:r w:rsidR="00A26309" w:rsidRPr="007C01AB">
        <w:rPr>
          <w:sz w:val="24"/>
          <w:szCs w:val="24"/>
        </w:rPr>
        <w:t xml:space="preserve"> – 18 prosent av folkemengda.</w:t>
      </w:r>
    </w:p>
    <w:p w14:paraId="2919EA9F" w14:textId="1F887034" w:rsidR="00642114" w:rsidRPr="00642114" w:rsidRDefault="00642114" w:rsidP="00642114">
      <w:pPr>
        <w:rPr>
          <w:sz w:val="24"/>
          <w:szCs w:val="24"/>
        </w:rPr>
      </w:pPr>
      <w:r w:rsidRPr="00642114">
        <w:rPr>
          <w:sz w:val="24"/>
          <w:szCs w:val="24"/>
        </w:rPr>
        <w:t xml:space="preserve">Eit enkelt estimat </w:t>
      </w:r>
      <w:r>
        <w:rPr>
          <w:sz w:val="24"/>
          <w:szCs w:val="24"/>
        </w:rPr>
        <w:t>ut frå grupperinga over</w:t>
      </w:r>
      <w:r w:rsidR="00934C89">
        <w:rPr>
          <w:sz w:val="24"/>
          <w:szCs w:val="24"/>
        </w:rPr>
        <w:t>,</w:t>
      </w:r>
      <w:r>
        <w:rPr>
          <w:sz w:val="24"/>
          <w:szCs w:val="24"/>
        </w:rPr>
        <w:t xml:space="preserve"> </w:t>
      </w:r>
      <w:r w:rsidRPr="00642114">
        <w:rPr>
          <w:sz w:val="24"/>
          <w:szCs w:val="24"/>
        </w:rPr>
        <w:t>er at norske distrikt inkluderer opp mot 20 prosent av folk i Noreg</w:t>
      </w:r>
      <w:r w:rsidR="00934C89">
        <w:rPr>
          <w:sz w:val="24"/>
          <w:szCs w:val="24"/>
        </w:rPr>
        <w:t>. Grupperinga over får ikkje fram at distriktsregionar inngå som delar av dei fleste fylke. S</w:t>
      </w:r>
      <w:r w:rsidRPr="00642114">
        <w:rPr>
          <w:sz w:val="24"/>
          <w:szCs w:val="24"/>
        </w:rPr>
        <w:t>like andelar varierer mellom region</w:t>
      </w:r>
      <w:r w:rsidR="00934C89">
        <w:rPr>
          <w:sz w:val="24"/>
          <w:szCs w:val="24"/>
        </w:rPr>
        <w:t xml:space="preserve">typane over og i landsdelen </w:t>
      </w:r>
      <w:r w:rsidRPr="00642114">
        <w:rPr>
          <w:sz w:val="24"/>
          <w:szCs w:val="24"/>
        </w:rPr>
        <w:t>Nord-Noreg er 40 prosent av sysselsetjinga i distriktsregionar, dvs. utanom større arbeidsmarknader</w:t>
      </w:r>
      <w:r w:rsidR="00934C89">
        <w:rPr>
          <w:sz w:val="24"/>
          <w:szCs w:val="24"/>
        </w:rPr>
        <w:t xml:space="preserve">. </w:t>
      </w:r>
    </w:p>
    <w:p w14:paraId="300488E7" w14:textId="77777777" w:rsidR="006B5598" w:rsidRPr="006B5598" w:rsidRDefault="007C01AB">
      <w:pPr>
        <w:rPr>
          <w:i/>
          <w:sz w:val="24"/>
          <w:szCs w:val="24"/>
        </w:rPr>
      </w:pPr>
      <w:r>
        <w:rPr>
          <w:i/>
          <w:sz w:val="24"/>
          <w:szCs w:val="24"/>
        </w:rPr>
        <w:t>Føresetnader for vekst gjennom</w:t>
      </w:r>
      <w:r w:rsidR="00ED60DE">
        <w:rPr>
          <w:i/>
          <w:sz w:val="24"/>
          <w:szCs w:val="24"/>
        </w:rPr>
        <w:t xml:space="preserve"> d</w:t>
      </w:r>
      <w:r w:rsidR="006B5598" w:rsidRPr="006B5598">
        <w:rPr>
          <w:i/>
          <w:sz w:val="24"/>
          <w:szCs w:val="24"/>
        </w:rPr>
        <w:t>emografisk utvikling</w:t>
      </w:r>
    </w:p>
    <w:p w14:paraId="3904E4A1" w14:textId="7265C048" w:rsidR="00ED60DE" w:rsidRDefault="00ED60DE" w:rsidP="00B7094B">
      <w:pPr>
        <w:rPr>
          <w:sz w:val="24"/>
          <w:szCs w:val="24"/>
        </w:rPr>
      </w:pPr>
      <w:r>
        <w:rPr>
          <w:sz w:val="24"/>
          <w:szCs w:val="24"/>
        </w:rPr>
        <w:t>Når universiteta og høgskolane i den grad det er vist over, rekrutterer regionalt</w:t>
      </w:r>
      <w:r w:rsidR="00845B17">
        <w:rPr>
          <w:sz w:val="24"/>
          <w:szCs w:val="24"/>
        </w:rPr>
        <w:t>,</w:t>
      </w:r>
      <w:r>
        <w:rPr>
          <w:sz w:val="24"/>
          <w:szCs w:val="24"/>
        </w:rPr>
        <w:t xml:space="preserve"> er det klart </w:t>
      </w:r>
      <w:r w:rsidR="00462D18">
        <w:rPr>
          <w:sz w:val="24"/>
          <w:szCs w:val="24"/>
        </w:rPr>
        <w:t xml:space="preserve">at </w:t>
      </w:r>
      <w:r>
        <w:rPr>
          <w:sz w:val="24"/>
          <w:szCs w:val="24"/>
        </w:rPr>
        <w:t>storleik</w:t>
      </w:r>
      <w:r w:rsidR="00D47D93">
        <w:rPr>
          <w:sz w:val="24"/>
          <w:szCs w:val="24"/>
        </w:rPr>
        <w:t xml:space="preserve">en til </w:t>
      </w:r>
      <w:r>
        <w:rPr>
          <w:sz w:val="24"/>
          <w:szCs w:val="24"/>
        </w:rPr>
        <w:t xml:space="preserve">aktuelle kull og </w:t>
      </w:r>
      <w:r w:rsidR="00462D18">
        <w:rPr>
          <w:sz w:val="24"/>
          <w:szCs w:val="24"/>
        </w:rPr>
        <w:t xml:space="preserve">utdanningsnivåa i </w:t>
      </w:r>
      <w:r>
        <w:rPr>
          <w:sz w:val="24"/>
          <w:szCs w:val="24"/>
        </w:rPr>
        <w:t>kulla er sentrale føresetnader for institusjonane</w:t>
      </w:r>
      <w:r w:rsidR="00D47D93">
        <w:rPr>
          <w:sz w:val="24"/>
          <w:szCs w:val="24"/>
        </w:rPr>
        <w:t xml:space="preserve"> </w:t>
      </w:r>
      <w:r>
        <w:rPr>
          <w:sz w:val="24"/>
          <w:szCs w:val="24"/>
        </w:rPr>
        <w:t>s</w:t>
      </w:r>
      <w:r w:rsidR="00D47D93">
        <w:rPr>
          <w:sz w:val="24"/>
          <w:szCs w:val="24"/>
        </w:rPr>
        <w:t>in</w:t>
      </w:r>
      <w:r>
        <w:rPr>
          <w:sz w:val="24"/>
          <w:szCs w:val="24"/>
        </w:rPr>
        <w:t xml:space="preserve"> vekst og utvikling, og de facto for rekrutteringsstrategiar. Alle universitet</w:t>
      </w:r>
      <w:r w:rsidR="00462D18">
        <w:rPr>
          <w:sz w:val="24"/>
          <w:szCs w:val="24"/>
        </w:rPr>
        <w:t xml:space="preserve"> og høgskolar er </w:t>
      </w:r>
      <w:r>
        <w:rPr>
          <w:sz w:val="24"/>
          <w:szCs w:val="24"/>
        </w:rPr>
        <w:t>opptatt av å rekruttera nasjonalt og globalt, men for</w:t>
      </w:r>
      <w:r w:rsidR="00462D18">
        <w:rPr>
          <w:sz w:val="24"/>
          <w:szCs w:val="24"/>
        </w:rPr>
        <w:t xml:space="preserve"> dei av institusjonane med </w:t>
      </w:r>
      <w:r>
        <w:rPr>
          <w:sz w:val="24"/>
          <w:szCs w:val="24"/>
        </w:rPr>
        <w:t xml:space="preserve">små kull i </w:t>
      </w:r>
      <w:r w:rsidR="00053B6B">
        <w:rPr>
          <w:sz w:val="24"/>
          <w:szCs w:val="24"/>
        </w:rPr>
        <w:t xml:space="preserve">«hjemtraktene» er det avgjerande også å lukkast med strategiane. </w:t>
      </w:r>
    </w:p>
    <w:p w14:paraId="0BC3BEBF" w14:textId="1DA8D09D" w:rsidR="00053B6B" w:rsidRDefault="00C42AAB" w:rsidP="00053B6B">
      <w:pPr>
        <w:rPr>
          <w:sz w:val="24"/>
          <w:szCs w:val="24"/>
        </w:rPr>
      </w:pPr>
      <w:r>
        <w:rPr>
          <w:sz w:val="24"/>
          <w:szCs w:val="24"/>
        </w:rPr>
        <w:t xml:space="preserve">Rekruttering handlar (enno) mye om alder. </w:t>
      </w:r>
      <w:r w:rsidR="00053B6B">
        <w:rPr>
          <w:sz w:val="24"/>
          <w:szCs w:val="24"/>
        </w:rPr>
        <w:t xml:space="preserve">Når det gjeld skiljet </w:t>
      </w:r>
      <w:r w:rsidR="00053B6B" w:rsidRPr="00053B6B">
        <w:rPr>
          <w:sz w:val="24"/>
          <w:szCs w:val="24"/>
        </w:rPr>
        <w:t xml:space="preserve"> i </w:t>
      </w:r>
      <w:r w:rsidR="00053B6B">
        <w:rPr>
          <w:sz w:val="24"/>
          <w:szCs w:val="24"/>
        </w:rPr>
        <w:t xml:space="preserve">aldersstruktur, går det mellom </w:t>
      </w:r>
      <w:r w:rsidR="00053B6B" w:rsidRPr="00053B6B">
        <w:rPr>
          <w:sz w:val="24"/>
          <w:szCs w:val="24"/>
        </w:rPr>
        <w:t>Oslo</w:t>
      </w:r>
      <w:r w:rsidR="00053B6B">
        <w:rPr>
          <w:sz w:val="24"/>
          <w:szCs w:val="24"/>
        </w:rPr>
        <w:t xml:space="preserve"> - </w:t>
      </w:r>
      <w:r w:rsidR="00053B6B" w:rsidRPr="00053B6B">
        <w:rPr>
          <w:sz w:val="24"/>
          <w:szCs w:val="24"/>
        </w:rPr>
        <w:t xml:space="preserve"> og storby</w:t>
      </w:r>
      <w:r w:rsidR="00053B6B">
        <w:rPr>
          <w:sz w:val="24"/>
          <w:szCs w:val="24"/>
        </w:rPr>
        <w:t xml:space="preserve">regionane </w:t>
      </w:r>
      <w:r w:rsidR="00053B6B" w:rsidRPr="00053B6B">
        <w:rPr>
          <w:sz w:val="24"/>
          <w:szCs w:val="24"/>
        </w:rPr>
        <w:t>på den eine sida, og by- og distrikts</w:t>
      </w:r>
      <w:r w:rsidR="00053B6B">
        <w:rPr>
          <w:sz w:val="24"/>
          <w:szCs w:val="24"/>
        </w:rPr>
        <w:t xml:space="preserve">regionane på den andre. Det er </w:t>
      </w:r>
      <w:r w:rsidR="00053B6B" w:rsidRPr="00053B6B">
        <w:rPr>
          <w:sz w:val="24"/>
          <w:szCs w:val="24"/>
        </w:rPr>
        <w:t xml:space="preserve">berre i </w:t>
      </w:r>
      <w:r w:rsidR="00053B6B">
        <w:rPr>
          <w:sz w:val="24"/>
          <w:szCs w:val="24"/>
        </w:rPr>
        <w:t xml:space="preserve">Osloregionen og i </w:t>
      </w:r>
      <w:r w:rsidR="00053B6B" w:rsidRPr="00053B6B">
        <w:rPr>
          <w:sz w:val="24"/>
          <w:szCs w:val="24"/>
        </w:rPr>
        <w:t xml:space="preserve">storbyane det er demografisk potensiale </w:t>
      </w:r>
      <w:r w:rsidR="00D47D93">
        <w:rPr>
          <w:sz w:val="24"/>
          <w:szCs w:val="24"/>
        </w:rPr>
        <w:t xml:space="preserve">gjennom </w:t>
      </w:r>
      <w:r w:rsidR="00647C87">
        <w:rPr>
          <w:sz w:val="24"/>
          <w:szCs w:val="24"/>
        </w:rPr>
        <w:t xml:space="preserve">høg </w:t>
      </w:r>
      <w:r w:rsidR="00D47D93">
        <w:rPr>
          <w:sz w:val="24"/>
          <w:szCs w:val="24"/>
        </w:rPr>
        <w:t xml:space="preserve">del unge vaksne </w:t>
      </w:r>
      <w:r w:rsidR="00053B6B" w:rsidRPr="00053B6B">
        <w:rPr>
          <w:sz w:val="24"/>
          <w:szCs w:val="24"/>
        </w:rPr>
        <w:t>for eigenvekst</w:t>
      </w:r>
      <w:r w:rsidR="00462D18">
        <w:rPr>
          <w:sz w:val="24"/>
          <w:szCs w:val="24"/>
        </w:rPr>
        <w:t xml:space="preserve"> framover</w:t>
      </w:r>
      <w:r w:rsidR="00053B6B" w:rsidRPr="00053B6B">
        <w:rPr>
          <w:sz w:val="24"/>
          <w:szCs w:val="24"/>
        </w:rPr>
        <w:t xml:space="preserve">. </w:t>
      </w:r>
      <w:r w:rsidR="00053B6B">
        <w:rPr>
          <w:sz w:val="24"/>
          <w:szCs w:val="24"/>
        </w:rPr>
        <w:t xml:space="preserve"> Det betyr at de</w:t>
      </w:r>
      <w:r w:rsidR="00FB1A81">
        <w:rPr>
          <w:sz w:val="24"/>
          <w:szCs w:val="24"/>
        </w:rPr>
        <w:t>t demografis</w:t>
      </w:r>
      <w:r w:rsidR="00053B6B">
        <w:rPr>
          <w:sz w:val="24"/>
          <w:szCs w:val="24"/>
        </w:rPr>
        <w:t>k</w:t>
      </w:r>
      <w:r w:rsidR="00FB1A81">
        <w:rPr>
          <w:sz w:val="24"/>
          <w:szCs w:val="24"/>
        </w:rPr>
        <w:t>e</w:t>
      </w:r>
      <w:r w:rsidR="00053B6B">
        <w:rPr>
          <w:sz w:val="24"/>
          <w:szCs w:val="24"/>
        </w:rPr>
        <w:t xml:space="preserve"> heimegrunnlaget for vekst blir mindre enn det har vore</w:t>
      </w:r>
      <w:r w:rsidR="00F37384">
        <w:rPr>
          <w:sz w:val="24"/>
          <w:szCs w:val="24"/>
        </w:rPr>
        <w:t>,</w:t>
      </w:r>
      <w:r w:rsidR="00053B6B">
        <w:rPr>
          <w:sz w:val="24"/>
          <w:szCs w:val="24"/>
        </w:rPr>
        <w:t xml:space="preserve"> og er i dag</w:t>
      </w:r>
      <w:r w:rsidR="00F37384">
        <w:rPr>
          <w:sz w:val="24"/>
          <w:szCs w:val="24"/>
        </w:rPr>
        <w:t>,</w:t>
      </w:r>
      <w:r w:rsidR="00053B6B">
        <w:rPr>
          <w:sz w:val="24"/>
          <w:szCs w:val="24"/>
        </w:rPr>
        <w:t xml:space="preserve"> for institusjonar som i stor grad rekrutterer frå by – og distriktsregionar. </w:t>
      </w:r>
    </w:p>
    <w:p w14:paraId="6F795916" w14:textId="35A0609E" w:rsidR="00053B6B" w:rsidRDefault="00FB1A81" w:rsidP="00053B6B">
      <w:pPr>
        <w:rPr>
          <w:sz w:val="24"/>
          <w:szCs w:val="24"/>
        </w:rPr>
      </w:pPr>
      <w:r>
        <w:rPr>
          <w:sz w:val="24"/>
          <w:szCs w:val="24"/>
        </w:rPr>
        <w:lastRenderedPageBreak/>
        <w:t xml:space="preserve">Det er noen interne </w:t>
      </w:r>
      <w:r w:rsidR="00647C87">
        <w:rPr>
          <w:sz w:val="24"/>
          <w:szCs w:val="24"/>
        </w:rPr>
        <w:t>skilje</w:t>
      </w:r>
      <w:r>
        <w:rPr>
          <w:sz w:val="24"/>
          <w:szCs w:val="24"/>
        </w:rPr>
        <w:t xml:space="preserve"> mellom byfylka, primært ved at </w:t>
      </w:r>
      <w:r w:rsidR="00647C87">
        <w:rPr>
          <w:sz w:val="24"/>
          <w:szCs w:val="24"/>
        </w:rPr>
        <w:t>Agder fylka</w:t>
      </w:r>
      <w:r>
        <w:rPr>
          <w:sz w:val="24"/>
          <w:szCs w:val="24"/>
        </w:rPr>
        <w:t xml:space="preserve"> har høg del av barn og unge, og Troms </w:t>
      </w:r>
      <w:r w:rsidR="00F37384">
        <w:rPr>
          <w:sz w:val="24"/>
          <w:szCs w:val="24"/>
        </w:rPr>
        <w:t xml:space="preserve">har </w:t>
      </w:r>
      <w:r>
        <w:rPr>
          <w:sz w:val="24"/>
          <w:szCs w:val="24"/>
        </w:rPr>
        <w:t>høg del unge vaksne. Men generelt er bilete eit veksande rekrutteringsgrunnlag for institusjonar i Oslo, Bergen, Trondheim og Stavanger</w:t>
      </w:r>
      <w:r w:rsidR="00462D18">
        <w:rPr>
          <w:sz w:val="24"/>
          <w:szCs w:val="24"/>
        </w:rPr>
        <w:t>, og eit svekka for dei andre</w:t>
      </w:r>
      <w:r>
        <w:rPr>
          <w:sz w:val="24"/>
          <w:szCs w:val="24"/>
        </w:rPr>
        <w:t xml:space="preserve">. </w:t>
      </w:r>
    </w:p>
    <w:p w14:paraId="1D5B8792" w14:textId="6D5CC3F7" w:rsidR="00FB1A81" w:rsidRDefault="00FB1A81" w:rsidP="00053B6B">
      <w:pPr>
        <w:rPr>
          <w:sz w:val="24"/>
          <w:szCs w:val="24"/>
        </w:rPr>
      </w:pPr>
      <w:r>
        <w:rPr>
          <w:sz w:val="24"/>
          <w:szCs w:val="24"/>
        </w:rPr>
        <w:t>Så veit vi også at fråfall i vidaregåande skole er høgt i mange distriktsregionar primært, og at eit utslag av dette er at mange fullfører både vidaregåande – og høgre utdanning sein</w:t>
      </w:r>
      <w:r w:rsidR="00C42AAB">
        <w:rPr>
          <w:sz w:val="24"/>
          <w:szCs w:val="24"/>
        </w:rPr>
        <w:t xml:space="preserve">t i livsløpet. Figur 3 under, </w:t>
      </w:r>
      <w:r>
        <w:rPr>
          <w:sz w:val="24"/>
          <w:szCs w:val="24"/>
        </w:rPr>
        <w:t>viser</w:t>
      </w:r>
      <w:r w:rsidR="00F37384">
        <w:rPr>
          <w:sz w:val="24"/>
          <w:szCs w:val="24"/>
        </w:rPr>
        <w:t xml:space="preserve"> at</w:t>
      </w:r>
      <w:r>
        <w:rPr>
          <w:sz w:val="24"/>
          <w:szCs w:val="24"/>
        </w:rPr>
        <w:t xml:space="preserve"> krava til «tilpassing» av studiar til studentar forholdsvis seint i livløpet er større for institusjonar i Nord-Trøndelag og i Nord-Noreg enn i andre regionar.</w:t>
      </w:r>
      <w:r w:rsidR="00C42AAB">
        <w:rPr>
          <w:sz w:val="24"/>
          <w:szCs w:val="24"/>
        </w:rPr>
        <w:t xml:space="preserve">  Slike mønster gir også </w:t>
      </w:r>
      <w:r w:rsidR="00D47D93">
        <w:rPr>
          <w:sz w:val="24"/>
          <w:szCs w:val="24"/>
        </w:rPr>
        <w:t xml:space="preserve">regionale </w:t>
      </w:r>
      <w:r w:rsidR="00C42AAB">
        <w:rPr>
          <w:sz w:val="24"/>
          <w:szCs w:val="24"/>
        </w:rPr>
        <w:t>rammer for rekruttering.</w:t>
      </w:r>
    </w:p>
    <w:p w14:paraId="5B6CB924" w14:textId="77777777" w:rsidR="00FB1A81" w:rsidRDefault="00FB1A81" w:rsidP="00053B6B">
      <w:pPr>
        <w:rPr>
          <w:sz w:val="24"/>
          <w:szCs w:val="24"/>
        </w:rPr>
      </w:pPr>
    </w:p>
    <w:p w14:paraId="75077065" w14:textId="77777777" w:rsidR="00FB1A81" w:rsidRPr="00FB1A81" w:rsidRDefault="00A13F4D" w:rsidP="00053B6B">
      <w:pPr>
        <w:rPr>
          <w:color w:val="FF0000"/>
          <w:sz w:val="24"/>
          <w:szCs w:val="24"/>
        </w:rPr>
      </w:pPr>
      <w:r>
        <w:rPr>
          <w:noProof/>
          <w:lang w:val="nb-NO" w:eastAsia="nb-NO"/>
        </w:rPr>
        <w:drawing>
          <wp:inline distT="0" distB="0" distL="0" distR="0" wp14:anchorId="3C4A2908" wp14:editId="0414E9A8">
            <wp:extent cx="5760720" cy="3582670"/>
            <wp:effectExtent l="0" t="0" r="0" b="0"/>
            <wp:docPr id="1229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Bild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82670"/>
                    </a:xfrm>
                    <a:prstGeom prst="rect">
                      <a:avLst/>
                    </a:prstGeom>
                    <a:noFill/>
                    <a:ln>
                      <a:noFill/>
                    </a:ln>
                    <a:extLst/>
                  </pic:spPr>
                </pic:pic>
              </a:graphicData>
            </a:graphic>
          </wp:inline>
        </w:drawing>
      </w:r>
    </w:p>
    <w:p w14:paraId="0DAA9E9A" w14:textId="77777777" w:rsidR="00A13F4D" w:rsidRDefault="00A13F4D">
      <w:pPr>
        <w:rPr>
          <w:sz w:val="24"/>
          <w:szCs w:val="24"/>
        </w:rPr>
      </w:pPr>
      <w:r>
        <w:rPr>
          <w:sz w:val="24"/>
          <w:szCs w:val="24"/>
        </w:rPr>
        <w:t>Figur 3 Del av sysselsetjing med høgre utdanning som tar høgre utdanning som vaksne (30+)</w:t>
      </w:r>
      <w:r>
        <w:rPr>
          <w:rStyle w:val="Fotnotereferanse"/>
          <w:sz w:val="24"/>
          <w:szCs w:val="24"/>
        </w:rPr>
        <w:footnoteReference w:id="16"/>
      </w:r>
      <w:r>
        <w:rPr>
          <w:sz w:val="24"/>
          <w:szCs w:val="24"/>
        </w:rPr>
        <w:t>.</w:t>
      </w:r>
    </w:p>
    <w:p w14:paraId="65933D87" w14:textId="77777777" w:rsidR="00053B6B" w:rsidRDefault="00053B6B">
      <w:pPr>
        <w:rPr>
          <w:sz w:val="24"/>
          <w:szCs w:val="24"/>
        </w:rPr>
      </w:pPr>
    </w:p>
    <w:p w14:paraId="5CAC5E1A" w14:textId="29E115A5" w:rsidR="00912E95" w:rsidRPr="00BF58D2" w:rsidRDefault="008B30E6">
      <w:pPr>
        <w:rPr>
          <w:i/>
          <w:sz w:val="24"/>
          <w:szCs w:val="24"/>
        </w:rPr>
      </w:pPr>
      <w:r>
        <w:rPr>
          <w:i/>
          <w:sz w:val="24"/>
          <w:szCs w:val="24"/>
        </w:rPr>
        <w:t>Variasjonar over attraktivitet</w:t>
      </w:r>
    </w:p>
    <w:p w14:paraId="5BA2E129" w14:textId="77C282C8" w:rsidR="00462D18" w:rsidRDefault="00DB7952">
      <w:pPr>
        <w:rPr>
          <w:sz w:val="24"/>
          <w:szCs w:val="24"/>
        </w:rPr>
      </w:pPr>
      <w:r>
        <w:rPr>
          <w:sz w:val="24"/>
          <w:szCs w:val="24"/>
        </w:rPr>
        <w:t xml:space="preserve">Kandidatane frå universiteta og høgskolane «tilføres» i stor grad </w:t>
      </w:r>
      <w:r w:rsidR="00F37384">
        <w:rPr>
          <w:sz w:val="24"/>
          <w:szCs w:val="24"/>
        </w:rPr>
        <w:t xml:space="preserve">til ein </w:t>
      </w:r>
      <w:r w:rsidR="00043EF4">
        <w:rPr>
          <w:sz w:val="24"/>
          <w:szCs w:val="24"/>
        </w:rPr>
        <w:t xml:space="preserve">«eigen» region. Men </w:t>
      </w:r>
      <w:r w:rsidR="00D47D93">
        <w:rPr>
          <w:sz w:val="24"/>
          <w:szCs w:val="24"/>
        </w:rPr>
        <w:t xml:space="preserve">det er skilnader mellom regionane med omsyn til kor attraktive dei er å bu i. </w:t>
      </w:r>
      <w:r w:rsidR="00043EF4">
        <w:rPr>
          <w:sz w:val="24"/>
          <w:szCs w:val="24"/>
        </w:rPr>
        <w:t xml:space="preserve">Det gir mindre potensiale for rekruttering av kandidatar frå andre </w:t>
      </w:r>
      <w:r w:rsidR="00D47D93">
        <w:rPr>
          <w:sz w:val="24"/>
          <w:szCs w:val="24"/>
        </w:rPr>
        <w:t>enn nær</w:t>
      </w:r>
      <w:r w:rsidR="00043EF4">
        <w:rPr>
          <w:sz w:val="24"/>
          <w:szCs w:val="24"/>
        </w:rPr>
        <w:t>universitet til regionen, og det kan også bety at regionen på sikt vil har vanskar med å rekruttera også kandidatar frå regionen.</w:t>
      </w:r>
    </w:p>
    <w:p w14:paraId="12A4DA4F" w14:textId="6F6F188B" w:rsidR="00BF58D2" w:rsidRDefault="00043EF4">
      <w:pPr>
        <w:rPr>
          <w:sz w:val="24"/>
          <w:szCs w:val="24"/>
        </w:rPr>
      </w:pPr>
      <w:r>
        <w:rPr>
          <w:sz w:val="24"/>
          <w:szCs w:val="24"/>
        </w:rPr>
        <w:lastRenderedPageBreak/>
        <w:t xml:space="preserve">Folketalet </w:t>
      </w:r>
      <w:r w:rsidR="00462D18">
        <w:rPr>
          <w:sz w:val="24"/>
          <w:szCs w:val="24"/>
        </w:rPr>
        <w:t xml:space="preserve">i yrkesaktiv alder </w:t>
      </w:r>
      <w:r>
        <w:rPr>
          <w:sz w:val="24"/>
          <w:szCs w:val="24"/>
        </w:rPr>
        <w:t xml:space="preserve">vaks </w:t>
      </w:r>
      <w:r w:rsidR="00DB7952">
        <w:rPr>
          <w:sz w:val="24"/>
          <w:szCs w:val="24"/>
        </w:rPr>
        <w:t>meir og j</w:t>
      </w:r>
      <w:r w:rsidR="00462D18">
        <w:rPr>
          <w:sz w:val="24"/>
          <w:szCs w:val="24"/>
        </w:rPr>
        <w:t>amnare enn sysselsetjinga i Sør</w:t>
      </w:r>
      <w:r w:rsidR="00E0720F">
        <w:rPr>
          <w:sz w:val="24"/>
          <w:szCs w:val="24"/>
        </w:rPr>
        <w:t xml:space="preserve">-Noreg etter 2010. I Nord-Noreg </w:t>
      </w:r>
      <w:r w:rsidR="00DB7952">
        <w:rPr>
          <w:sz w:val="24"/>
          <w:szCs w:val="24"/>
        </w:rPr>
        <w:t xml:space="preserve">var utviklinga i Nord-Noreg «motsett». </w:t>
      </w:r>
      <w:r w:rsidR="00BF58D2">
        <w:rPr>
          <w:rStyle w:val="Fotnotereferanse"/>
          <w:sz w:val="24"/>
          <w:szCs w:val="24"/>
        </w:rPr>
        <w:footnoteReference w:id="17"/>
      </w:r>
      <w:r w:rsidR="00BF58D2">
        <w:rPr>
          <w:sz w:val="24"/>
          <w:szCs w:val="24"/>
        </w:rPr>
        <w:t xml:space="preserve">. Der var det ein jamn og stigande sysselsetjingsvekst, medan befolkninga </w:t>
      </w:r>
      <w:r w:rsidR="00BB44A5">
        <w:rPr>
          <w:sz w:val="24"/>
          <w:szCs w:val="24"/>
        </w:rPr>
        <w:t>i yrkesaktiv alder i langt m</w:t>
      </w:r>
      <w:r>
        <w:rPr>
          <w:sz w:val="24"/>
          <w:szCs w:val="24"/>
        </w:rPr>
        <w:t>indre grad va</w:t>
      </w:r>
      <w:r w:rsidR="00E0720F">
        <w:rPr>
          <w:sz w:val="24"/>
          <w:szCs w:val="24"/>
        </w:rPr>
        <w:t xml:space="preserve">ks, og </w:t>
      </w:r>
      <w:r w:rsidR="00BB44A5">
        <w:rPr>
          <w:sz w:val="24"/>
          <w:szCs w:val="24"/>
        </w:rPr>
        <w:t>stagnert</w:t>
      </w:r>
      <w:r w:rsidR="00E0720F">
        <w:rPr>
          <w:sz w:val="24"/>
          <w:szCs w:val="24"/>
        </w:rPr>
        <w:t>e</w:t>
      </w:r>
      <w:r w:rsidR="00BB44A5">
        <w:rPr>
          <w:sz w:val="24"/>
          <w:szCs w:val="24"/>
        </w:rPr>
        <w:t xml:space="preserve"> etter at sysselsetjinga i nord verkeleg vaks etter 2014. Folketalet i dei aktuelle aldersgruppene vaks i sa</w:t>
      </w:r>
      <w:r w:rsidR="00D47D93">
        <w:rPr>
          <w:sz w:val="24"/>
          <w:szCs w:val="24"/>
        </w:rPr>
        <w:t>me grad i sør også i periodar når</w:t>
      </w:r>
      <w:r w:rsidR="00BB44A5">
        <w:rPr>
          <w:sz w:val="24"/>
          <w:szCs w:val="24"/>
        </w:rPr>
        <w:t xml:space="preserve"> sysselsetjinga gjekk ned (2014-2015). </w:t>
      </w:r>
    </w:p>
    <w:p w14:paraId="5957B834" w14:textId="7CC0D429" w:rsidR="005B4591" w:rsidRDefault="00043EF4">
      <w:pPr>
        <w:rPr>
          <w:sz w:val="24"/>
          <w:szCs w:val="24"/>
        </w:rPr>
      </w:pPr>
      <w:r>
        <w:rPr>
          <w:sz w:val="24"/>
          <w:szCs w:val="24"/>
        </w:rPr>
        <w:t>T</w:t>
      </w:r>
      <w:r w:rsidR="005B4591">
        <w:rPr>
          <w:sz w:val="24"/>
          <w:szCs w:val="24"/>
        </w:rPr>
        <w:t>ilhøvet mellom</w:t>
      </w:r>
      <w:r w:rsidR="00D47D93">
        <w:rPr>
          <w:sz w:val="24"/>
          <w:szCs w:val="24"/>
        </w:rPr>
        <w:t xml:space="preserve"> folketalsutvikling 20-66 år og</w:t>
      </w:r>
      <w:r w:rsidR="00F37384">
        <w:rPr>
          <w:sz w:val="24"/>
          <w:szCs w:val="24"/>
        </w:rPr>
        <w:t xml:space="preserve"> </w:t>
      </w:r>
      <w:r w:rsidR="005B4591">
        <w:rPr>
          <w:sz w:val="24"/>
          <w:szCs w:val="24"/>
        </w:rPr>
        <w:t>sysselsetjingsutvikling varierer mellom regiontypar.</w:t>
      </w:r>
    </w:p>
    <w:p w14:paraId="154282E0" w14:textId="77777777" w:rsidR="005B4591" w:rsidRDefault="005B4591">
      <w:pPr>
        <w:rPr>
          <w:sz w:val="24"/>
          <w:szCs w:val="24"/>
        </w:rPr>
      </w:pPr>
    </w:p>
    <w:p w14:paraId="33A39900" w14:textId="77777777" w:rsidR="005B4591" w:rsidRPr="005B4591" w:rsidRDefault="00A13F4D">
      <w:pPr>
        <w:rPr>
          <w:color w:val="FF0000"/>
          <w:sz w:val="24"/>
          <w:szCs w:val="24"/>
        </w:rPr>
      </w:pPr>
      <w:r w:rsidRPr="00A13F4D">
        <w:rPr>
          <w:noProof/>
          <w:color w:val="FF0000"/>
          <w:sz w:val="24"/>
          <w:szCs w:val="24"/>
          <w:lang w:val="nb-NO" w:eastAsia="nb-NO"/>
        </w:rPr>
        <w:drawing>
          <wp:inline distT="0" distB="0" distL="0" distR="0" wp14:anchorId="31548C07" wp14:editId="138CB2A6">
            <wp:extent cx="5760720" cy="323977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39770"/>
                    </a:xfrm>
                    <a:prstGeom prst="rect">
                      <a:avLst/>
                    </a:prstGeom>
                  </pic:spPr>
                </pic:pic>
              </a:graphicData>
            </a:graphic>
          </wp:inline>
        </w:drawing>
      </w:r>
    </w:p>
    <w:p w14:paraId="527E73E1" w14:textId="047BBCD5" w:rsidR="00A13F4D" w:rsidRDefault="00A13F4D">
      <w:pPr>
        <w:rPr>
          <w:sz w:val="24"/>
          <w:szCs w:val="24"/>
        </w:rPr>
      </w:pPr>
      <w:r>
        <w:rPr>
          <w:sz w:val="24"/>
          <w:szCs w:val="24"/>
        </w:rPr>
        <w:t>Figur 4 Sysselsetjing – og demografisk utvikling – skilnader mellom regionar</w:t>
      </w:r>
      <w:r w:rsidR="00C42AAB">
        <w:rPr>
          <w:sz w:val="24"/>
          <w:szCs w:val="24"/>
        </w:rPr>
        <w:t>.</w:t>
      </w:r>
    </w:p>
    <w:p w14:paraId="58305C9F" w14:textId="3D4BC094" w:rsidR="00E0720F" w:rsidRDefault="00C42AAB">
      <w:pPr>
        <w:rPr>
          <w:sz w:val="24"/>
          <w:szCs w:val="24"/>
        </w:rPr>
      </w:pPr>
      <w:r>
        <w:rPr>
          <w:sz w:val="24"/>
          <w:szCs w:val="24"/>
        </w:rPr>
        <w:t>Figur 4</w:t>
      </w:r>
      <w:r w:rsidR="004206D5">
        <w:rPr>
          <w:sz w:val="24"/>
          <w:szCs w:val="24"/>
        </w:rPr>
        <w:t xml:space="preserve"> </w:t>
      </w:r>
      <w:r w:rsidR="00043EF4">
        <w:rPr>
          <w:sz w:val="24"/>
          <w:szCs w:val="24"/>
        </w:rPr>
        <w:t xml:space="preserve">viser </w:t>
      </w:r>
      <w:r w:rsidR="004206D5">
        <w:rPr>
          <w:sz w:val="24"/>
          <w:szCs w:val="24"/>
        </w:rPr>
        <w:t xml:space="preserve">at når sysselsetjingsveksten er </w:t>
      </w:r>
      <w:r w:rsidR="00043EF4">
        <w:rPr>
          <w:sz w:val="24"/>
          <w:szCs w:val="24"/>
        </w:rPr>
        <w:t xml:space="preserve">svært </w:t>
      </w:r>
      <w:r w:rsidR="004206D5">
        <w:rPr>
          <w:sz w:val="24"/>
          <w:szCs w:val="24"/>
        </w:rPr>
        <w:t>sterk, som de</w:t>
      </w:r>
      <w:r w:rsidR="00E0720F">
        <w:rPr>
          <w:sz w:val="24"/>
          <w:szCs w:val="24"/>
        </w:rPr>
        <w:t>n var før finanskrisa i 2008, va</w:t>
      </w:r>
      <w:r w:rsidR="004206D5">
        <w:rPr>
          <w:sz w:val="24"/>
          <w:szCs w:val="24"/>
        </w:rPr>
        <w:t xml:space="preserve">ks sysselsetjinga i alle regionar meir </w:t>
      </w:r>
      <w:r w:rsidR="00F37384">
        <w:rPr>
          <w:sz w:val="24"/>
          <w:szCs w:val="24"/>
        </w:rPr>
        <w:t xml:space="preserve">enn </w:t>
      </w:r>
      <w:r w:rsidR="004206D5">
        <w:rPr>
          <w:sz w:val="24"/>
          <w:szCs w:val="24"/>
        </w:rPr>
        <w:t>foketalet</w:t>
      </w:r>
      <w:r w:rsidR="00356DC6">
        <w:rPr>
          <w:sz w:val="24"/>
          <w:szCs w:val="24"/>
        </w:rPr>
        <w:t xml:space="preserve"> i dei yrkesaktive aldersgruppene</w:t>
      </w:r>
      <w:r w:rsidR="004206D5">
        <w:rPr>
          <w:sz w:val="24"/>
          <w:szCs w:val="24"/>
        </w:rPr>
        <w:t xml:space="preserve">.  I </w:t>
      </w:r>
      <w:r w:rsidR="00043EF4">
        <w:rPr>
          <w:sz w:val="24"/>
          <w:szCs w:val="24"/>
        </w:rPr>
        <w:t xml:space="preserve">den meir «normale» </w:t>
      </w:r>
      <w:r w:rsidR="004206D5">
        <w:rPr>
          <w:sz w:val="24"/>
          <w:szCs w:val="24"/>
        </w:rPr>
        <w:t xml:space="preserve">perioden etter 2011 </w:t>
      </w:r>
      <w:r w:rsidR="00E0720F">
        <w:rPr>
          <w:sz w:val="24"/>
          <w:szCs w:val="24"/>
        </w:rPr>
        <w:t xml:space="preserve">ser vi derimot </w:t>
      </w:r>
      <w:r w:rsidR="004206D5">
        <w:rPr>
          <w:sz w:val="24"/>
          <w:szCs w:val="24"/>
        </w:rPr>
        <w:t xml:space="preserve">tre </w:t>
      </w:r>
      <w:r w:rsidR="00E0720F">
        <w:rPr>
          <w:sz w:val="24"/>
          <w:szCs w:val="24"/>
        </w:rPr>
        <w:t xml:space="preserve">ulike </w:t>
      </w:r>
      <w:r w:rsidR="004206D5">
        <w:rPr>
          <w:sz w:val="24"/>
          <w:szCs w:val="24"/>
        </w:rPr>
        <w:t>utviklingstrekk: Sjølv om sysselsetjingsveksten i distriktsregionane er svak</w:t>
      </w:r>
      <w:r w:rsidR="00356DC6">
        <w:rPr>
          <w:sz w:val="24"/>
          <w:szCs w:val="24"/>
        </w:rPr>
        <w:t xml:space="preserve"> samanlikna med dei regionane</w:t>
      </w:r>
      <w:r w:rsidR="004206D5">
        <w:rPr>
          <w:sz w:val="24"/>
          <w:szCs w:val="24"/>
        </w:rPr>
        <w:t xml:space="preserve">, er folketalsutviklinga 20-66 år endå svakare. I by – og storbyregionane veks folketalet rimeleg upåverka av til dels kraftig nedgang i sysselsetjinga. Det siste gjeld særleg i storbyregionane, </w:t>
      </w:r>
      <w:r w:rsidR="00E0720F">
        <w:rPr>
          <w:sz w:val="24"/>
          <w:szCs w:val="24"/>
        </w:rPr>
        <w:t xml:space="preserve">der </w:t>
      </w:r>
      <w:r w:rsidR="004206D5">
        <w:rPr>
          <w:sz w:val="24"/>
          <w:szCs w:val="24"/>
        </w:rPr>
        <w:t xml:space="preserve">krisa </w:t>
      </w:r>
      <w:r w:rsidR="00E0720F">
        <w:rPr>
          <w:sz w:val="24"/>
          <w:szCs w:val="24"/>
        </w:rPr>
        <w:t>hadde årsak i oljeøkonomien. I</w:t>
      </w:r>
      <w:r w:rsidR="004206D5">
        <w:rPr>
          <w:sz w:val="24"/>
          <w:szCs w:val="24"/>
        </w:rPr>
        <w:t xml:space="preserve"> Osloreg</w:t>
      </w:r>
      <w:r w:rsidR="00C864E5">
        <w:rPr>
          <w:sz w:val="24"/>
          <w:szCs w:val="24"/>
        </w:rPr>
        <w:t xml:space="preserve">ionen veks </w:t>
      </w:r>
      <w:r w:rsidR="00D47D93">
        <w:rPr>
          <w:sz w:val="24"/>
          <w:szCs w:val="24"/>
        </w:rPr>
        <w:t xml:space="preserve">både folketal og sysselsetjing </w:t>
      </w:r>
      <w:r w:rsidR="00C864E5">
        <w:rPr>
          <w:sz w:val="24"/>
          <w:szCs w:val="24"/>
        </w:rPr>
        <w:t>mest, ua</w:t>
      </w:r>
      <w:r w:rsidR="004206D5">
        <w:rPr>
          <w:sz w:val="24"/>
          <w:szCs w:val="24"/>
        </w:rPr>
        <w:t xml:space="preserve">vhengig </w:t>
      </w:r>
      <w:r w:rsidR="00E0720F">
        <w:rPr>
          <w:sz w:val="24"/>
          <w:szCs w:val="24"/>
        </w:rPr>
        <w:t xml:space="preserve">av nasjonale </w:t>
      </w:r>
      <w:r w:rsidR="004206D5">
        <w:rPr>
          <w:sz w:val="24"/>
          <w:szCs w:val="24"/>
        </w:rPr>
        <w:t xml:space="preserve">økonomiske konjunkturar. </w:t>
      </w:r>
    </w:p>
    <w:p w14:paraId="525E3074" w14:textId="51806622" w:rsidR="004206D5" w:rsidRDefault="004206D5">
      <w:pPr>
        <w:rPr>
          <w:sz w:val="24"/>
          <w:szCs w:val="24"/>
        </w:rPr>
      </w:pPr>
      <w:r>
        <w:rPr>
          <w:sz w:val="24"/>
          <w:szCs w:val="24"/>
        </w:rPr>
        <w:t xml:space="preserve">Det er </w:t>
      </w:r>
      <w:r w:rsidR="00D47D93">
        <w:rPr>
          <w:sz w:val="24"/>
          <w:szCs w:val="24"/>
        </w:rPr>
        <w:t xml:space="preserve">derfor </w:t>
      </w:r>
      <w:r>
        <w:rPr>
          <w:sz w:val="24"/>
          <w:szCs w:val="24"/>
        </w:rPr>
        <w:t>klart at universitet og høgskolar forankr</w:t>
      </w:r>
      <w:r w:rsidR="00E0720F">
        <w:rPr>
          <w:sz w:val="24"/>
          <w:szCs w:val="24"/>
        </w:rPr>
        <w:t>a</w:t>
      </w:r>
      <w:r>
        <w:rPr>
          <w:sz w:val="24"/>
          <w:szCs w:val="24"/>
        </w:rPr>
        <w:t xml:space="preserve"> i regionar med store distrikt har andre rammer enn ditto i regionar der folk vil bu, </w:t>
      </w:r>
      <w:r w:rsidR="00E0720F">
        <w:rPr>
          <w:sz w:val="24"/>
          <w:szCs w:val="24"/>
        </w:rPr>
        <w:t xml:space="preserve">sjølv om </w:t>
      </w:r>
      <w:r>
        <w:rPr>
          <w:sz w:val="24"/>
          <w:szCs w:val="24"/>
        </w:rPr>
        <w:t xml:space="preserve">næringslivet </w:t>
      </w:r>
      <w:r w:rsidR="00D47D93">
        <w:rPr>
          <w:sz w:val="24"/>
          <w:szCs w:val="24"/>
        </w:rPr>
        <w:t xml:space="preserve">i periodar </w:t>
      </w:r>
      <w:r>
        <w:rPr>
          <w:sz w:val="24"/>
          <w:szCs w:val="24"/>
        </w:rPr>
        <w:t>slit</w:t>
      </w:r>
      <w:r w:rsidR="00D47D93">
        <w:rPr>
          <w:sz w:val="24"/>
          <w:szCs w:val="24"/>
        </w:rPr>
        <w:t xml:space="preserve"> i slike meir attraktive regionar</w:t>
      </w:r>
      <w:r>
        <w:rPr>
          <w:sz w:val="24"/>
          <w:szCs w:val="24"/>
        </w:rPr>
        <w:t xml:space="preserve">. Vi ser då også at politiske forventingar til </w:t>
      </w:r>
      <w:r w:rsidR="00D47D93">
        <w:rPr>
          <w:sz w:val="24"/>
          <w:szCs w:val="24"/>
        </w:rPr>
        <w:t xml:space="preserve">institusjonane varierer. </w:t>
      </w:r>
      <w:r w:rsidR="00451305">
        <w:rPr>
          <w:sz w:val="24"/>
          <w:szCs w:val="24"/>
        </w:rPr>
        <w:t xml:space="preserve">Noen opplever stort fokus på </w:t>
      </w:r>
      <w:r>
        <w:rPr>
          <w:sz w:val="24"/>
          <w:szCs w:val="24"/>
        </w:rPr>
        <w:t xml:space="preserve">geografisk fordeling av sysselsette </w:t>
      </w:r>
      <w:r w:rsidR="00E0720F">
        <w:rPr>
          <w:sz w:val="24"/>
          <w:szCs w:val="24"/>
        </w:rPr>
        <w:t xml:space="preserve">og studentar </w:t>
      </w:r>
      <w:r w:rsidR="00D47D93">
        <w:rPr>
          <w:sz w:val="24"/>
          <w:szCs w:val="24"/>
        </w:rPr>
        <w:t xml:space="preserve">for å sikra </w:t>
      </w:r>
      <w:r w:rsidR="00D47D93">
        <w:rPr>
          <w:sz w:val="24"/>
          <w:szCs w:val="24"/>
        </w:rPr>
        <w:lastRenderedPageBreak/>
        <w:t>busetjing</w:t>
      </w:r>
      <w:r w:rsidR="00451305">
        <w:rPr>
          <w:sz w:val="24"/>
          <w:szCs w:val="24"/>
        </w:rPr>
        <w:t xml:space="preserve">, andre på </w:t>
      </w:r>
      <w:r>
        <w:rPr>
          <w:sz w:val="24"/>
          <w:szCs w:val="24"/>
        </w:rPr>
        <w:t xml:space="preserve">bidrag til å snu </w:t>
      </w:r>
      <w:r w:rsidR="00451305">
        <w:rPr>
          <w:sz w:val="24"/>
          <w:szCs w:val="24"/>
        </w:rPr>
        <w:t xml:space="preserve">økonomiske kriser og andre igjen til </w:t>
      </w:r>
      <w:r>
        <w:rPr>
          <w:sz w:val="24"/>
          <w:szCs w:val="24"/>
        </w:rPr>
        <w:t xml:space="preserve"> </w:t>
      </w:r>
      <w:r w:rsidR="00451305">
        <w:rPr>
          <w:sz w:val="24"/>
          <w:szCs w:val="24"/>
        </w:rPr>
        <w:t>i</w:t>
      </w:r>
      <w:r w:rsidR="00C864E5">
        <w:rPr>
          <w:sz w:val="24"/>
          <w:szCs w:val="24"/>
        </w:rPr>
        <w:t xml:space="preserve">ntegrasjon av innvandrarar for å dekka </w:t>
      </w:r>
      <w:r w:rsidR="00451305">
        <w:rPr>
          <w:sz w:val="24"/>
          <w:szCs w:val="24"/>
        </w:rPr>
        <w:t>syss</w:t>
      </w:r>
      <w:r w:rsidR="00D47D93">
        <w:rPr>
          <w:sz w:val="24"/>
          <w:szCs w:val="24"/>
        </w:rPr>
        <w:t>e</w:t>
      </w:r>
      <w:r w:rsidR="00451305">
        <w:rPr>
          <w:sz w:val="24"/>
          <w:szCs w:val="24"/>
        </w:rPr>
        <w:t>l</w:t>
      </w:r>
      <w:r w:rsidR="00D47D93">
        <w:rPr>
          <w:sz w:val="24"/>
          <w:szCs w:val="24"/>
        </w:rPr>
        <w:t>setjings</w:t>
      </w:r>
      <w:r w:rsidR="00451305">
        <w:rPr>
          <w:sz w:val="24"/>
          <w:szCs w:val="24"/>
        </w:rPr>
        <w:t>vekst.</w:t>
      </w:r>
    </w:p>
    <w:p w14:paraId="0275B32D" w14:textId="77777777" w:rsidR="00E0720F" w:rsidRDefault="00E0720F">
      <w:pPr>
        <w:rPr>
          <w:i/>
          <w:sz w:val="24"/>
          <w:szCs w:val="24"/>
        </w:rPr>
      </w:pPr>
    </w:p>
    <w:p w14:paraId="77C9CB1E" w14:textId="77777777" w:rsidR="00451305" w:rsidRDefault="00451305">
      <w:pPr>
        <w:rPr>
          <w:i/>
          <w:sz w:val="24"/>
          <w:szCs w:val="24"/>
        </w:rPr>
      </w:pPr>
    </w:p>
    <w:p w14:paraId="78678170" w14:textId="73AE10DC" w:rsidR="009E0937" w:rsidRPr="00BF58D2" w:rsidRDefault="00043EF4">
      <w:pPr>
        <w:rPr>
          <w:i/>
          <w:sz w:val="24"/>
          <w:szCs w:val="24"/>
        </w:rPr>
      </w:pPr>
      <w:r>
        <w:rPr>
          <w:i/>
          <w:sz w:val="24"/>
          <w:szCs w:val="24"/>
        </w:rPr>
        <w:t xml:space="preserve">Evnar </w:t>
      </w:r>
      <w:r w:rsidR="00E0720F">
        <w:rPr>
          <w:i/>
          <w:sz w:val="24"/>
          <w:szCs w:val="24"/>
        </w:rPr>
        <w:t xml:space="preserve">institusjonar </w:t>
      </w:r>
      <w:r>
        <w:rPr>
          <w:i/>
          <w:sz w:val="24"/>
          <w:szCs w:val="24"/>
        </w:rPr>
        <w:t xml:space="preserve">å inkludera endringar i </w:t>
      </w:r>
      <w:r w:rsidR="00E0720F">
        <w:rPr>
          <w:i/>
          <w:sz w:val="24"/>
          <w:szCs w:val="24"/>
        </w:rPr>
        <w:t>det regionale arbeidslivet?</w:t>
      </w:r>
    </w:p>
    <w:p w14:paraId="35DD9974" w14:textId="5116E776" w:rsidR="00EC7A13" w:rsidRDefault="00043EF4">
      <w:pPr>
        <w:rPr>
          <w:sz w:val="24"/>
          <w:szCs w:val="24"/>
        </w:rPr>
      </w:pPr>
      <w:r>
        <w:rPr>
          <w:sz w:val="24"/>
          <w:szCs w:val="24"/>
        </w:rPr>
        <w:t xml:space="preserve">Sett bort frå reine faglege årsaker, så er </w:t>
      </w:r>
      <w:r w:rsidR="002B243A">
        <w:rPr>
          <w:sz w:val="24"/>
          <w:szCs w:val="24"/>
        </w:rPr>
        <w:t xml:space="preserve">dei fleste </w:t>
      </w:r>
      <w:r w:rsidR="007F166F">
        <w:rPr>
          <w:sz w:val="24"/>
          <w:szCs w:val="24"/>
        </w:rPr>
        <w:t xml:space="preserve">norske universitet </w:t>
      </w:r>
      <w:r w:rsidR="00451305">
        <w:rPr>
          <w:sz w:val="24"/>
          <w:szCs w:val="24"/>
        </w:rPr>
        <w:t xml:space="preserve">og høgskolar </w:t>
      </w:r>
      <w:r w:rsidR="002B243A">
        <w:rPr>
          <w:sz w:val="24"/>
          <w:szCs w:val="24"/>
        </w:rPr>
        <w:t xml:space="preserve">utvikla </w:t>
      </w:r>
      <w:r w:rsidR="00EC7A13">
        <w:rPr>
          <w:sz w:val="24"/>
          <w:szCs w:val="24"/>
        </w:rPr>
        <w:t xml:space="preserve">med </w:t>
      </w:r>
      <w:r>
        <w:rPr>
          <w:sz w:val="24"/>
          <w:szCs w:val="24"/>
        </w:rPr>
        <w:t>g</w:t>
      </w:r>
      <w:r w:rsidR="00EC7A13">
        <w:rPr>
          <w:sz w:val="24"/>
          <w:szCs w:val="24"/>
        </w:rPr>
        <w:t>runngjev</w:t>
      </w:r>
      <w:r>
        <w:rPr>
          <w:sz w:val="24"/>
          <w:szCs w:val="24"/>
        </w:rPr>
        <w:t xml:space="preserve">ing </w:t>
      </w:r>
      <w:r w:rsidR="00EC7A13">
        <w:rPr>
          <w:sz w:val="24"/>
          <w:szCs w:val="24"/>
        </w:rPr>
        <w:t xml:space="preserve"> i offentleg sektor. </w:t>
      </w:r>
      <w:r w:rsidR="00EC7A13" w:rsidRPr="00451305">
        <w:rPr>
          <w:sz w:val="24"/>
          <w:szCs w:val="24"/>
          <w:lang w:val="nb-NO"/>
        </w:rPr>
        <w:t>Det hand</w:t>
      </w:r>
      <w:r w:rsidR="002B243A" w:rsidRPr="00451305">
        <w:rPr>
          <w:sz w:val="24"/>
          <w:szCs w:val="24"/>
          <w:lang w:val="nb-NO"/>
        </w:rPr>
        <w:t xml:space="preserve">lar om </w:t>
      </w:r>
      <w:r w:rsidR="00451305" w:rsidRPr="00451305">
        <w:rPr>
          <w:sz w:val="24"/>
          <w:szCs w:val="24"/>
          <w:lang w:val="nb-NO"/>
        </w:rPr>
        <w:t xml:space="preserve">behov i </w:t>
      </w:r>
      <w:r w:rsidR="002B243A" w:rsidRPr="00451305">
        <w:rPr>
          <w:sz w:val="24"/>
          <w:szCs w:val="24"/>
          <w:lang w:val="nb-NO"/>
        </w:rPr>
        <w:t>sjukehus, kommunar, skolar,</w:t>
      </w:r>
      <w:r w:rsidR="002B243A" w:rsidRPr="00413C06">
        <w:rPr>
          <w:sz w:val="24"/>
          <w:szCs w:val="24"/>
        </w:rPr>
        <w:t xml:space="preserve"> velferdsteneste</w:t>
      </w:r>
      <w:r w:rsidR="00F37384" w:rsidRPr="00451305">
        <w:rPr>
          <w:sz w:val="24"/>
          <w:szCs w:val="24"/>
          <w:lang w:val="nb-NO"/>
        </w:rPr>
        <w:t xml:space="preserve"> osv</w:t>
      </w:r>
      <w:r w:rsidR="00EC7A13" w:rsidRPr="00451305">
        <w:rPr>
          <w:sz w:val="24"/>
          <w:szCs w:val="24"/>
          <w:lang w:val="nb-NO"/>
        </w:rPr>
        <w:t>.</w:t>
      </w:r>
      <w:r w:rsidR="007F166F" w:rsidRPr="00451305">
        <w:rPr>
          <w:sz w:val="24"/>
          <w:szCs w:val="24"/>
          <w:lang w:val="nb-NO"/>
        </w:rPr>
        <w:t xml:space="preserve"> </w:t>
      </w:r>
      <w:r w:rsidR="00EC7A13">
        <w:rPr>
          <w:sz w:val="24"/>
          <w:szCs w:val="24"/>
        </w:rPr>
        <w:t>A</w:t>
      </w:r>
      <w:r w:rsidR="000E1B2E">
        <w:rPr>
          <w:sz w:val="24"/>
          <w:szCs w:val="24"/>
        </w:rPr>
        <w:t xml:space="preserve">lle regionar </w:t>
      </w:r>
      <w:r w:rsidR="00EC7A13">
        <w:rPr>
          <w:sz w:val="24"/>
          <w:szCs w:val="24"/>
        </w:rPr>
        <w:t xml:space="preserve">har </w:t>
      </w:r>
      <w:r w:rsidR="000E1B2E">
        <w:rPr>
          <w:sz w:val="24"/>
          <w:szCs w:val="24"/>
        </w:rPr>
        <w:t xml:space="preserve">mange jobbar i </w:t>
      </w:r>
      <w:r w:rsidR="00EC7A13">
        <w:rPr>
          <w:sz w:val="24"/>
          <w:szCs w:val="24"/>
        </w:rPr>
        <w:t xml:space="preserve">offentleg </w:t>
      </w:r>
      <w:r w:rsidR="000E1B2E">
        <w:rPr>
          <w:sz w:val="24"/>
          <w:szCs w:val="24"/>
        </w:rPr>
        <w:t>sektor</w:t>
      </w:r>
      <w:r w:rsidR="00EC7A13">
        <w:rPr>
          <w:sz w:val="24"/>
          <w:szCs w:val="24"/>
        </w:rPr>
        <w:t>, og u</w:t>
      </w:r>
      <w:r w:rsidR="000E1B2E">
        <w:rPr>
          <w:sz w:val="24"/>
          <w:szCs w:val="24"/>
        </w:rPr>
        <w:t>niversiteta og høgskolane har utdanna kandidatar til desse posisjonane. Ei</w:t>
      </w:r>
      <w:r w:rsidR="00EC7A13">
        <w:rPr>
          <w:sz w:val="24"/>
          <w:szCs w:val="24"/>
        </w:rPr>
        <w:t>n</w:t>
      </w:r>
      <w:r w:rsidR="000E1B2E">
        <w:rPr>
          <w:sz w:val="24"/>
          <w:szCs w:val="24"/>
        </w:rPr>
        <w:t xml:space="preserve"> desentralisert struktur </w:t>
      </w:r>
      <w:r w:rsidR="00EC7A13">
        <w:rPr>
          <w:sz w:val="24"/>
          <w:szCs w:val="24"/>
        </w:rPr>
        <w:t>i sektoren</w:t>
      </w:r>
      <w:r w:rsidR="002B243A">
        <w:rPr>
          <w:sz w:val="24"/>
          <w:szCs w:val="24"/>
        </w:rPr>
        <w:t xml:space="preserve"> </w:t>
      </w:r>
      <w:r w:rsidR="000E1B2E">
        <w:rPr>
          <w:sz w:val="24"/>
          <w:szCs w:val="24"/>
        </w:rPr>
        <w:t xml:space="preserve">har </w:t>
      </w:r>
      <w:r w:rsidR="00356DC6">
        <w:rPr>
          <w:sz w:val="24"/>
          <w:szCs w:val="24"/>
        </w:rPr>
        <w:t>medverka</w:t>
      </w:r>
      <w:r w:rsidR="00EC7A13">
        <w:rPr>
          <w:sz w:val="24"/>
          <w:szCs w:val="24"/>
        </w:rPr>
        <w:t xml:space="preserve"> (jfr</w:t>
      </w:r>
      <w:r w:rsidR="00413C06">
        <w:rPr>
          <w:sz w:val="24"/>
          <w:szCs w:val="24"/>
        </w:rPr>
        <w:t>.</w:t>
      </w:r>
      <w:r w:rsidR="00EC7A13">
        <w:rPr>
          <w:sz w:val="24"/>
          <w:szCs w:val="24"/>
        </w:rPr>
        <w:t xml:space="preserve"> over)</w:t>
      </w:r>
      <w:r w:rsidR="000E1B2E">
        <w:rPr>
          <w:sz w:val="24"/>
          <w:szCs w:val="24"/>
        </w:rPr>
        <w:t>, og den sterke offentl</w:t>
      </w:r>
      <w:r w:rsidR="00EC7A13">
        <w:rPr>
          <w:sz w:val="24"/>
          <w:szCs w:val="24"/>
        </w:rPr>
        <w:t xml:space="preserve">ege innrettinga har </w:t>
      </w:r>
      <w:r w:rsidR="000E1B2E">
        <w:rPr>
          <w:sz w:val="24"/>
          <w:szCs w:val="24"/>
        </w:rPr>
        <w:t xml:space="preserve">stadfesta den offentlege dominansen særleg i distrikta og i nord. </w:t>
      </w:r>
      <w:r w:rsidR="00EC7A13">
        <w:rPr>
          <w:sz w:val="24"/>
          <w:szCs w:val="24"/>
        </w:rPr>
        <w:t xml:space="preserve">Ved UiT ser vi t.d. at medan i overkant av 30 prosent av alle kandidatane går til privat sektor, er andelen av dei 370 kandidatane </w:t>
      </w:r>
      <w:r w:rsidR="002B243A">
        <w:rPr>
          <w:sz w:val="24"/>
          <w:szCs w:val="24"/>
        </w:rPr>
        <w:t>som tek jobb privat sektor i Finnmark</w:t>
      </w:r>
      <w:r w:rsidR="00EC7A13">
        <w:rPr>
          <w:sz w:val="24"/>
          <w:szCs w:val="24"/>
        </w:rPr>
        <w:t xml:space="preserve"> overkant av 20 prosent. </w:t>
      </w:r>
    </w:p>
    <w:p w14:paraId="1154D9F9" w14:textId="75740FAD" w:rsidR="00C864E5" w:rsidRDefault="002B243A">
      <w:pPr>
        <w:rPr>
          <w:sz w:val="24"/>
          <w:szCs w:val="24"/>
        </w:rPr>
      </w:pPr>
      <w:r>
        <w:rPr>
          <w:sz w:val="24"/>
          <w:szCs w:val="24"/>
        </w:rPr>
        <w:t xml:space="preserve">Likevel har </w:t>
      </w:r>
      <w:r w:rsidR="00F37384">
        <w:rPr>
          <w:sz w:val="24"/>
          <w:szCs w:val="24"/>
        </w:rPr>
        <w:t>sysselsetjing</w:t>
      </w:r>
      <w:r w:rsidR="00451305">
        <w:rPr>
          <w:sz w:val="24"/>
          <w:szCs w:val="24"/>
        </w:rPr>
        <w:t>a i offentleg sektor i mange distrikt</w:t>
      </w:r>
      <w:r w:rsidR="00F37384">
        <w:rPr>
          <w:sz w:val="24"/>
          <w:szCs w:val="24"/>
        </w:rPr>
        <w:t xml:space="preserve"> stagnert dei </w:t>
      </w:r>
      <w:r w:rsidR="000E1B2E">
        <w:rPr>
          <w:sz w:val="24"/>
          <w:szCs w:val="24"/>
        </w:rPr>
        <w:t>siste sju-åtte åra, medan det er sterk vekst i privat sektor</w:t>
      </w:r>
      <w:r w:rsidR="000E1B2E">
        <w:rPr>
          <w:rStyle w:val="Fotnotereferanse"/>
          <w:sz w:val="24"/>
          <w:szCs w:val="24"/>
        </w:rPr>
        <w:footnoteReference w:id="18"/>
      </w:r>
      <w:r>
        <w:rPr>
          <w:sz w:val="24"/>
          <w:szCs w:val="24"/>
        </w:rPr>
        <w:t xml:space="preserve"> i distriktskommunar i Troms og Finnmark</w:t>
      </w:r>
      <w:r w:rsidR="000E1B2E">
        <w:rPr>
          <w:sz w:val="24"/>
          <w:szCs w:val="24"/>
        </w:rPr>
        <w:t>.</w:t>
      </w:r>
      <w:r w:rsidR="0000131D">
        <w:rPr>
          <w:sz w:val="24"/>
          <w:szCs w:val="24"/>
        </w:rPr>
        <w:t xml:space="preserve">  </w:t>
      </w:r>
    </w:p>
    <w:p w14:paraId="7F3AEF55" w14:textId="77777777" w:rsidR="0000131D" w:rsidRDefault="000D53D5">
      <w:pPr>
        <w:rPr>
          <w:sz w:val="24"/>
          <w:szCs w:val="24"/>
        </w:rPr>
      </w:pPr>
      <w:r>
        <w:rPr>
          <w:noProof/>
          <w:sz w:val="24"/>
          <w:szCs w:val="24"/>
          <w:lang w:val="nb-NO" w:eastAsia="nb-NO"/>
        </w:rPr>
        <w:drawing>
          <wp:inline distT="0" distB="0" distL="0" distR="0" wp14:anchorId="17AE566F" wp14:editId="1636A8C8">
            <wp:extent cx="6096635" cy="342963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12FC93D5" w14:textId="21C60352" w:rsidR="0000131D" w:rsidRDefault="000D53D5">
      <w:pPr>
        <w:rPr>
          <w:sz w:val="24"/>
          <w:szCs w:val="24"/>
        </w:rPr>
      </w:pPr>
      <w:r>
        <w:rPr>
          <w:sz w:val="24"/>
          <w:szCs w:val="24"/>
        </w:rPr>
        <w:t xml:space="preserve">Figur 5: Sysselsetjingsutvikling offentleg og privat sektor – regionale </w:t>
      </w:r>
      <w:r w:rsidR="002B243A">
        <w:rPr>
          <w:sz w:val="24"/>
          <w:szCs w:val="24"/>
        </w:rPr>
        <w:t>skilnader.</w:t>
      </w:r>
    </w:p>
    <w:p w14:paraId="7EC000E8" w14:textId="53B8180C" w:rsidR="00771515" w:rsidRDefault="002B243A">
      <w:pPr>
        <w:rPr>
          <w:sz w:val="24"/>
          <w:szCs w:val="24"/>
        </w:rPr>
      </w:pPr>
      <w:r>
        <w:rPr>
          <w:sz w:val="24"/>
          <w:szCs w:val="24"/>
        </w:rPr>
        <w:t xml:space="preserve">Noe av det same mønsteret vises om </w:t>
      </w:r>
      <w:r w:rsidR="00451305">
        <w:rPr>
          <w:sz w:val="24"/>
          <w:szCs w:val="24"/>
        </w:rPr>
        <w:t xml:space="preserve">vi inkluderer </w:t>
      </w:r>
      <w:r>
        <w:rPr>
          <w:sz w:val="24"/>
          <w:szCs w:val="24"/>
        </w:rPr>
        <w:t>alle regionar</w:t>
      </w:r>
      <w:r w:rsidR="00451305">
        <w:rPr>
          <w:sz w:val="24"/>
          <w:szCs w:val="24"/>
        </w:rPr>
        <w:t>.</w:t>
      </w:r>
      <w:r>
        <w:rPr>
          <w:sz w:val="24"/>
          <w:szCs w:val="24"/>
        </w:rPr>
        <w:t xml:space="preserve"> </w:t>
      </w:r>
      <w:r w:rsidR="00771515">
        <w:rPr>
          <w:sz w:val="24"/>
          <w:szCs w:val="24"/>
        </w:rPr>
        <w:t>Offentleg sektor veks i same takt som privat sektor i distrikta</w:t>
      </w:r>
      <w:r w:rsidR="0000131D">
        <w:rPr>
          <w:sz w:val="24"/>
          <w:szCs w:val="24"/>
        </w:rPr>
        <w:t xml:space="preserve">, </w:t>
      </w:r>
      <w:r w:rsidR="00771515">
        <w:rPr>
          <w:sz w:val="24"/>
          <w:szCs w:val="24"/>
        </w:rPr>
        <w:t>men</w:t>
      </w:r>
      <w:r w:rsidR="0000131D">
        <w:rPr>
          <w:sz w:val="24"/>
          <w:szCs w:val="24"/>
        </w:rPr>
        <w:t xml:space="preserve"> veks primært i dei andre regiontypane og mest i Osloregionen. Privat sektor har opplevd e</w:t>
      </w:r>
      <w:r w:rsidR="00771515">
        <w:rPr>
          <w:sz w:val="24"/>
          <w:szCs w:val="24"/>
        </w:rPr>
        <w:t>in sterk nedgang</w:t>
      </w:r>
      <w:r w:rsidR="0000131D">
        <w:rPr>
          <w:sz w:val="24"/>
          <w:szCs w:val="24"/>
        </w:rPr>
        <w:t xml:space="preserve"> </w:t>
      </w:r>
      <w:r w:rsidR="00451305">
        <w:rPr>
          <w:sz w:val="24"/>
          <w:szCs w:val="24"/>
        </w:rPr>
        <w:t xml:space="preserve">i storby – og byregionar </w:t>
      </w:r>
      <w:r w:rsidR="0000131D">
        <w:rPr>
          <w:sz w:val="24"/>
          <w:szCs w:val="24"/>
        </w:rPr>
        <w:t xml:space="preserve">rundt </w:t>
      </w:r>
      <w:r w:rsidR="0000131D">
        <w:rPr>
          <w:sz w:val="24"/>
          <w:szCs w:val="24"/>
        </w:rPr>
        <w:lastRenderedPageBreak/>
        <w:t xml:space="preserve">oljeøkonomikrisa. I Osloregionen veks privat sektor igjen mest, og det ser </w:t>
      </w:r>
      <w:r>
        <w:rPr>
          <w:sz w:val="24"/>
          <w:szCs w:val="24"/>
        </w:rPr>
        <w:t xml:space="preserve">igjen </w:t>
      </w:r>
      <w:r w:rsidR="0000131D">
        <w:rPr>
          <w:sz w:val="24"/>
          <w:szCs w:val="24"/>
        </w:rPr>
        <w:t>u</w:t>
      </w:r>
      <w:r w:rsidR="00356DC6">
        <w:rPr>
          <w:sz w:val="24"/>
          <w:szCs w:val="24"/>
        </w:rPr>
        <w:t>t til å vera u</w:t>
      </w:r>
      <w:r w:rsidR="0000131D">
        <w:rPr>
          <w:sz w:val="24"/>
          <w:szCs w:val="24"/>
        </w:rPr>
        <w:t xml:space="preserve">påverka av økonomiske kriser. </w:t>
      </w:r>
    </w:p>
    <w:p w14:paraId="2734E9CA" w14:textId="6AFF5796" w:rsidR="00451305" w:rsidRDefault="0000131D">
      <w:pPr>
        <w:rPr>
          <w:sz w:val="24"/>
          <w:szCs w:val="24"/>
        </w:rPr>
      </w:pPr>
      <w:r>
        <w:rPr>
          <w:sz w:val="24"/>
          <w:szCs w:val="24"/>
        </w:rPr>
        <w:t xml:space="preserve">For institusjonar der gjerne opp mot 70 prosent av kandidatane går til offentleg sektor, og dei fleste </w:t>
      </w:r>
      <w:r w:rsidR="00771515">
        <w:rPr>
          <w:sz w:val="24"/>
          <w:szCs w:val="24"/>
        </w:rPr>
        <w:t>går til</w:t>
      </w:r>
      <w:r>
        <w:rPr>
          <w:sz w:val="24"/>
          <w:szCs w:val="24"/>
        </w:rPr>
        <w:t xml:space="preserve"> «eigen» region</w:t>
      </w:r>
      <w:r w:rsidR="00C07AD9">
        <w:rPr>
          <w:sz w:val="24"/>
          <w:szCs w:val="24"/>
        </w:rPr>
        <w:t xml:space="preserve">, er det klart </w:t>
      </w:r>
      <w:r w:rsidR="009C3D87">
        <w:rPr>
          <w:sz w:val="24"/>
          <w:szCs w:val="24"/>
        </w:rPr>
        <w:t xml:space="preserve">at </w:t>
      </w:r>
      <w:r w:rsidR="00C07AD9">
        <w:rPr>
          <w:sz w:val="24"/>
          <w:szCs w:val="24"/>
        </w:rPr>
        <w:t>ein nedgang og stagnasjon i d</w:t>
      </w:r>
      <w:r w:rsidR="00771515">
        <w:rPr>
          <w:sz w:val="24"/>
          <w:szCs w:val="24"/>
        </w:rPr>
        <w:t xml:space="preserve">enne sektoren påverkar </w:t>
      </w:r>
      <w:r w:rsidR="00356DC6">
        <w:rPr>
          <w:sz w:val="24"/>
          <w:szCs w:val="24"/>
        </w:rPr>
        <w:t xml:space="preserve">føresetnader for </w:t>
      </w:r>
      <w:r w:rsidR="002B243A">
        <w:rPr>
          <w:sz w:val="24"/>
          <w:szCs w:val="24"/>
        </w:rPr>
        <w:t xml:space="preserve">samhandling med regional arbeidsliv. </w:t>
      </w:r>
      <w:r w:rsidR="00451305">
        <w:rPr>
          <w:sz w:val="24"/>
          <w:szCs w:val="24"/>
        </w:rPr>
        <w:t xml:space="preserve"> Eit aspekt ved dette er at sjølv om offentleg sektor stagnerer og den private veks i mange samfunn i nord så viser </w:t>
      </w:r>
      <w:r w:rsidR="00E25F0E">
        <w:rPr>
          <w:sz w:val="24"/>
          <w:szCs w:val="24"/>
        </w:rPr>
        <w:t>UiT</w:t>
      </w:r>
      <w:r w:rsidR="002B243A">
        <w:rPr>
          <w:sz w:val="24"/>
          <w:szCs w:val="24"/>
        </w:rPr>
        <w:t xml:space="preserve">s kandidatundersøking i 2017 </w:t>
      </w:r>
      <w:r w:rsidR="00771515">
        <w:rPr>
          <w:sz w:val="24"/>
          <w:szCs w:val="24"/>
        </w:rPr>
        <w:t xml:space="preserve"> ei</w:t>
      </w:r>
      <w:r w:rsidR="00E25F0E">
        <w:rPr>
          <w:sz w:val="24"/>
          <w:szCs w:val="24"/>
        </w:rPr>
        <w:t xml:space="preserve"> «overfordeling» til offentleg sektor</w:t>
      </w:r>
      <w:r w:rsidR="00451305">
        <w:rPr>
          <w:sz w:val="24"/>
          <w:szCs w:val="24"/>
        </w:rPr>
        <w:t xml:space="preserve">. Samstundes som næringslivet ikkje evnar å rekruttera mange nok kandidatar. UiTs tal viser </w:t>
      </w:r>
      <w:r w:rsidR="00E25F0E">
        <w:rPr>
          <w:sz w:val="24"/>
          <w:szCs w:val="24"/>
        </w:rPr>
        <w:t xml:space="preserve">ei «underfordeling» til privat sektor i nord (med ditto «overfordeling» til </w:t>
      </w:r>
      <w:r w:rsidR="00771515">
        <w:rPr>
          <w:sz w:val="24"/>
          <w:szCs w:val="24"/>
        </w:rPr>
        <w:t xml:space="preserve">privat sektor i </w:t>
      </w:r>
      <w:r w:rsidR="00E25F0E">
        <w:rPr>
          <w:sz w:val="24"/>
          <w:szCs w:val="24"/>
        </w:rPr>
        <w:t>sør på begge tidspunkt</w:t>
      </w:r>
      <w:r w:rsidR="00771515">
        <w:rPr>
          <w:sz w:val="24"/>
          <w:szCs w:val="24"/>
        </w:rPr>
        <w:t>a</w:t>
      </w:r>
      <w:r w:rsidR="00E25F0E">
        <w:rPr>
          <w:sz w:val="24"/>
          <w:szCs w:val="24"/>
        </w:rPr>
        <w:t xml:space="preserve">, </w:t>
      </w:r>
      <w:r w:rsidR="00771515">
        <w:rPr>
          <w:sz w:val="24"/>
          <w:szCs w:val="24"/>
        </w:rPr>
        <w:t>men</w:t>
      </w:r>
      <w:r w:rsidR="00E25F0E">
        <w:rPr>
          <w:sz w:val="24"/>
          <w:szCs w:val="24"/>
        </w:rPr>
        <w:t xml:space="preserve"> med noe anna internt fordeling i sør</w:t>
      </w:r>
      <w:r w:rsidR="002B243A">
        <w:rPr>
          <w:sz w:val="24"/>
          <w:szCs w:val="24"/>
        </w:rPr>
        <w:t xml:space="preserve"> i 2017 enn i  2019</w:t>
      </w:r>
      <w:r w:rsidR="00451305">
        <w:rPr>
          <w:sz w:val="24"/>
          <w:szCs w:val="24"/>
        </w:rPr>
        <w:t>)</w:t>
      </w:r>
      <w:r w:rsidR="002B243A">
        <w:rPr>
          <w:sz w:val="24"/>
          <w:szCs w:val="24"/>
        </w:rPr>
        <w:t xml:space="preserve">. </w:t>
      </w:r>
      <w:r w:rsidR="00356DC6">
        <w:rPr>
          <w:sz w:val="24"/>
          <w:szCs w:val="24"/>
        </w:rPr>
        <w:t xml:space="preserve">I 2017 </w:t>
      </w:r>
      <w:r w:rsidR="00805741">
        <w:rPr>
          <w:sz w:val="24"/>
          <w:szCs w:val="24"/>
        </w:rPr>
        <w:t xml:space="preserve">rekrutterte </w:t>
      </w:r>
      <w:r w:rsidR="00356DC6">
        <w:rPr>
          <w:sz w:val="24"/>
          <w:szCs w:val="24"/>
        </w:rPr>
        <w:t>privat s</w:t>
      </w:r>
      <w:r w:rsidR="00805741">
        <w:rPr>
          <w:sz w:val="24"/>
          <w:szCs w:val="24"/>
        </w:rPr>
        <w:t>ektor i Osloregionen</w:t>
      </w:r>
      <w:r w:rsidR="00356DC6">
        <w:rPr>
          <w:sz w:val="24"/>
          <w:szCs w:val="24"/>
        </w:rPr>
        <w:t xml:space="preserve"> forholdsvis mange av </w:t>
      </w:r>
      <w:r w:rsidR="00413C06">
        <w:rPr>
          <w:sz w:val="24"/>
          <w:szCs w:val="24"/>
        </w:rPr>
        <w:t>UiTs</w:t>
      </w:r>
      <w:r w:rsidR="00356DC6">
        <w:rPr>
          <w:sz w:val="24"/>
          <w:szCs w:val="24"/>
        </w:rPr>
        <w:t xml:space="preserve"> kandidatar. I 2019 er det andre område </w:t>
      </w:r>
      <w:r w:rsidR="00805741">
        <w:rPr>
          <w:sz w:val="24"/>
          <w:szCs w:val="24"/>
        </w:rPr>
        <w:t xml:space="preserve">i sør </w:t>
      </w:r>
      <w:r w:rsidR="00356DC6">
        <w:rPr>
          <w:sz w:val="24"/>
          <w:szCs w:val="24"/>
        </w:rPr>
        <w:t xml:space="preserve">som </w:t>
      </w:r>
      <w:r w:rsidR="00805741">
        <w:rPr>
          <w:sz w:val="24"/>
          <w:szCs w:val="24"/>
        </w:rPr>
        <w:t xml:space="preserve">gjer det. </w:t>
      </w:r>
      <w:r w:rsidR="009C3D87">
        <w:rPr>
          <w:sz w:val="24"/>
          <w:szCs w:val="24"/>
        </w:rPr>
        <w:t>D</w:t>
      </w:r>
      <w:r w:rsidR="00356DC6">
        <w:rPr>
          <w:sz w:val="24"/>
          <w:szCs w:val="24"/>
        </w:rPr>
        <w:t xml:space="preserve">et kan ha med at krisa i oljeøkonomien er over. </w:t>
      </w:r>
    </w:p>
    <w:p w14:paraId="1254C37F" w14:textId="07C8891F" w:rsidR="00E25F0E" w:rsidRPr="00E25F0E" w:rsidRDefault="00356DC6">
      <w:pPr>
        <w:rPr>
          <w:sz w:val="24"/>
          <w:szCs w:val="24"/>
        </w:rPr>
      </w:pPr>
      <w:r>
        <w:rPr>
          <w:sz w:val="24"/>
          <w:szCs w:val="24"/>
        </w:rPr>
        <w:t>Dette understrekar igjen struk</w:t>
      </w:r>
      <w:r w:rsidR="00F01A1C">
        <w:rPr>
          <w:sz w:val="24"/>
          <w:szCs w:val="24"/>
        </w:rPr>
        <w:t>turen i privat sektor si rolle</w:t>
      </w:r>
      <w:r w:rsidR="00805741">
        <w:rPr>
          <w:sz w:val="24"/>
          <w:szCs w:val="24"/>
        </w:rPr>
        <w:t>, og at f</w:t>
      </w:r>
      <w:r w:rsidR="00E25F0E">
        <w:rPr>
          <w:sz w:val="24"/>
          <w:szCs w:val="24"/>
        </w:rPr>
        <w:t xml:space="preserve">ordelingar </w:t>
      </w:r>
      <w:r w:rsidR="003C00ED">
        <w:rPr>
          <w:sz w:val="24"/>
          <w:szCs w:val="24"/>
        </w:rPr>
        <w:t>av kandidatar stadfestar</w:t>
      </w:r>
      <w:r w:rsidR="00F01A1C">
        <w:rPr>
          <w:sz w:val="24"/>
          <w:szCs w:val="24"/>
        </w:rPr>
        <w:t xml:space="preserve"> </w:t>
      </w:r>
      <w:r w:rsidR="003C00ED">
        <w:rPr>
          <w:sz w:val="24"/>
          <w:szCs w:val="24"/>
        </w:rPr>
        <w:t xml:space="preserve">større og større avstandar mellom naturressursar og </w:t>
      </w:r>
      <w:r w:rsidR="00805741">
        <w:rPr>
          <w:sz w:val="24"/>
          <w:szCs w:val="24"/>
        </w:rPr>
        <w:t>a</w:t>
      </w:r>
      <w:r w:rsidR="003C00ED">
        <w:rPr>
          <w:sz w:val="24"/>
          <w:szCs w:val="24"/>
        </w:rPr>
        <w:t xml:space="preserve">rbeidskrafta som trengst for </w:t>
      </w:r>
      <w:r w:rsidR="00F01A1C">
        <w:rPr>
          <w:sz w:val="24"/>
          <w:szCs w:val="24"/>
        </w:rPr>
        <w:t>verdiskaping basert på</w:t>
      </w:r>
      <w:r w:rsidR="003C00ED">
        <w:rPr>
          <w:sz w:val="24"/>
          <w:szCs w:val="24"/>
        </w:rPr>
        <w:t xml:space="preserve"> naturressurs</w:t>
      </w:r>
      <w:r w:rsidR="00F01A1C">
        <w:rPr>
          <w:sz w:val="24"/>
          <w:szCs w:val="24"/>
        </w:rPr>
        <w:t xml:space="preserve">ar (som norsk økonomi er basert på). </w:t>
      </w:r>
      <w:r w:rsidR="00805741">
        <w:rPr>
          <w:sz w:val="24"/>
          <w:szCs w:val="24"/>
        </w:rPr>
        <w:t xml:space="preserve">Dette blir ei </w:t>
      </w:r>
      <w:r w:rsidR="003C00ED">
        <w:rPr>
          <w:sz w:val="24"/>
          <w:szCs w:val="24"/>
        </w:rPr>
        <w:t>fordeling som spring ut av den til ei kvar tid eksisterande etterspurnaden etter kandidatar med høgre utdanning i næringsstrukturen</w:t>
      </w:r>
      <w:r w:rsidR="00805741">
        <w:rPr>
          <w:sz w:val="24"/>
          <w:szCs w:val="24"/>
        </w:rPr>
        <w:t xml:space="preserve"> og som stadfestar denne. Det set igjen ulike rammer for institusjonanes samha</w:t>
      </w:r>
      <w:r w:rsidR="00C37D1B">
        <w:rPr>
          <w:sz w:val="24"/>
          <w:szCs w:val="24"/>
        </w:rPr>
        <w:t>ndling med regionalt arbeidsliv, men kan også føra til at fleire kandidatar med adresse næringslivet ikkje gir den regionale gevinsten institusjonane tradisjonelt har gitt.</w:t>
      </w:r>
    </w:p>
    <w:p w14:paraId="58DCAD23" w14:textId="77777777" w:rsidR="00D85433" w:rsidRDefault="00D85433">
      <w:pPr>
        <w:rPr>
          <w:sz w:val="24"/>
          <w:szCs w:val="24"/>
        </w:rPr>
      </w:pPr>
    </w:p>
    <w:p w14:paraId="24EAF4ED" w14:textId="7E07925D" w:rsidR="00D85433" w:rsidRPr="00A26309" w:rsidRDefault="00475FD8">
      <w:pPr>
        <w:rPr>
          <w:sz w:val="32"/>
          <w:szCs w:val="32"/>
        </w:rPr>
      </w:pPr>
      <w:r>
        <w:rPr>
          <w:sz w:val="32"/>
          <w:szCs w:val="32"/>
        </w:rPr>
        <w:t>Frå regional forankring til regional styring?</w:t>
      </w:r>
    </w:p>
    <w:p w14:paraId="64C30070" w14:textId="6D5F0A41" w:rsidR="002350B1" w:rsidRDefault="00BE249E">
      <w:pPr>
        <w:rPr>
          <w:sz w:val="24"/>
          <w:szCs w:val="24"/>
        </w:rPr>
      </w:pPr>
      <w:r>
        <w:rPr>
          <w:sz w:val="24"/>
          <w:szCs w:val="24"/>
        </w:rPr>
        <w:t>I</w:t>
      </w:r>
      <w:r w:rsidR="00C928F8">
        <w:rPr>
          <w:sz w:val="24"/>
          <w:szCs w:val="24"/>
        </w:rPr>
        <w:t>nstitusjonanes sterke</w:t>
      </w:r>
      <w:r w:rsidR="007314FC">
        <w:rPr>
          <w:sz w:val="24"/>
          <w:szCs w:val="24"/>
        </w:rPr>
        <w:t xml:space="preserve"> regionale forankring </w:t>
      </w:r>
      <w:r w:rsidR="00C928F8">
        <w:rPr>
          <w:sz w:val="24"/>
          <w:szCs w:val="24"/>
        </w:rPr>
        <w:t xml:space="preserve">vev </w:t>
      </w:r>
      <w:r>
        <w:rPr>
          <w:sz w:val="24"/>
          <w:szCs w:val="24"/>
        </w:rPr>
        <w:t>institusjonane</w:t>
      </w:r>
      <w:r w:rsidR="00475FD8">
        <w:rPr>
          <w:sz w:val="24"/>
          <w:szCs w:val="24"/>
        </w:rPr>
        <w:t xml:space="preserve"> </w:t>
      </w:r>
      <w:r w:rsidR="007314FC">
        <w:rPr>
          <w:sz w:val="24"/>
          <w:szCs w:val="24"/>
        </w:rPr>
        <w:t xml:space="preserve"> </w:t>
      </w:r>
      <w:r>
        <w:rPr>
          <w:sz w:val="24"/>
          <w:szCs w:val="24"/>
        </w:rPr>
        <w:t xml:space="preserve">inn </w:t>
      </w:r>
      <w:r w:rsidR="007314FC">
        <w:rPr>
          <w:sz w:val="24"/>
          <w:szCs w:val="24"/>
        </w:rPr>
        <w:t>i regionale strategi</w:t>
      </w:r>
      <w:r>
        <w:rPr>
          <w:sz w:val="24"/>
          <w:szCs w:val="24"/>
        </w:rPr>
        <w:t xml:space="preserve"> - og planprosessar</w:t>
      </w:r>
      <w:r w:rsidR="009C3D87">
        <w:rPr>
          <w:sz w:val="24"/>
          <w:szCs w:val="24"/>
        </w:rPr>
        <w:t>,</w:t>
      </w:r>
      <w:r w:rsidR="007314FC">
        <w:rPr>
          <w:sz w:val="24"/>
          <w:szCs w:val="24"/>
        </w:rPr>
        <w:t xml:space="preserve"> som dreg universiteta med i vedtaksprosessar som inkluderer andre enn universitetsstyrer og </w:t>
      </w:r>
      <w:r w:rsidR="00C928F8">
        <w:rPr>
          <w:sz w:val="24"/>
          <w:szCs w:val="24"/>
        </w:rPr>
        <w:t xml:space="preserve">ansvarleg departement. </w:t>
      </w:r>
      <w:r w:rsidR="007314FC">
        <w:rPr>
          <w:sz w:val="24"/>
          <w:szCs w:val="24"/>
        </w:rPr>
        <w:t xml:space="preserve">Dette </w:t>
      </w:r>
      <w:r w:rsidR="00475FD8">
        <w:rPr>
          <w:sz w:val="24"/>
          <w:szCs w:val="24"/>
        </w:rPr>
        <w:t xml:space="preserve">er ikkje avgrensa til </w:t>
      </w:r>
      <w:r w:rsidR="007314FC">
        <w:rPr>
          <w:sz w:val="24"/>
          <w:szCs w:val="24"/>
        </w:rPr>
        <w:t xml:space="preserve"> regionale</w:t>
      </w:r>
      <w:r w:rsidR="00475FD8">
        <w:rPr>
          <w:sz w:val="24"/>
          <w:szCs w:val="24"/>
        </w:rPr>
        <w:t xml:space="preserve"> eller lokale tilhøve</w:t>
      </w:r>
      <w:r w:rsidR="007314FC">
        <w:rPr>
          <w:sz w:val="24"/>
          <w:szCs w:val="24"/>
        </w:rPr>
        <w:t xml:space="preserve">, men også i </w:t>
      </w:r>
      <w:r w:rsidR="00C928F8">
        <w:rPr>
          <w:sz w:val="24"/>
          <w:szCs w:val="24"/>
        </w:rPr>
        <w:t xml:space="preserve">fleire og fleire </w:t>
      </w:r>
      <w:r w:rsidR="007314FC">
        <w:rPr>
          <w:sz w:val="24"/>
          <w:szCs w:val="24"/>
        </w:rPr>
        <w:t>overnasjonale proses</w:t>
      </w:r>
      <w:r w:rsidR="00C928F8">
        <w:rPr>
          <w:sz w:val="24"/>
          <w:szCs w:val="24"/>
        </w:rPr>
        <w:t>sar som i langt større grad enn nasjonal politikk</w:t>
      </w:r>
      <w:r w:rsidR="007314FC">
        <w:rPr>
          <w:sz w:val="24"/>
          <w:szCs w:val="24"/>
        </w:rPr>
        <w:t xml:space="preserve"> bygger på regionale strategiar. Døme på det siste er EU</w:t>
      </w:r>
      <w:r w:rsidR="009C3D87">
        <w:rPr>
          <w:sz w:val="24"/>
          <w:szCs w:val="24"/>
        </w:rPr>
        <w:t>,</w:t>
      </w:r>
      <w:r w:rsidR="007314FC">
        <w:rPr>
          <w:sz w:val="24"/>
          <w:szCs w:val="24"/>
        </w:rPr>
        <w:t xml:space="preserve"> der forskingsordninga (rammeprogramma/Horizon 2020 og Europe) og den regionale strukturpolitikken (ERDF) er to av dei viktigaste berebjelkane</w:t>
      </w:r>
      <w:r>
        <w:rPr>
          <w:sz w:val="24"/>
          <w:szCs w:val="24"/>
        </w:rPr>
        <w:t xml:space="preserve"> som gjensidig påverkar kvarandre</w:t>
      </w:r>
      <w:r w:rsidR="007314FC">
        <w:rPr>
          <w:sz w:val="24"/>
          <w:szCs w:val="24"/>
        </w:rPr>
        <w:t>.</w:t>
      </w:r>
    </w:p>
    <w:p w14:paraId="27F4A873" w14:textId="09411A4C" w:rsidR="00A42B4B" w:rsidRPr="00A26309" w:rsidRDefault="001C1ED7">
      <w:pPr>
        <w:rPr>
          <w:sz w:val="24"/>
          <w:szCs w:val="24"/>
        </w:rPr>
      </w:pPr>
      <w:r>
        <w:rPr>
          <w:sz w:val="24"/>
          <w:szCs w:val="24"/>
        </w:rPr>
        <w:t>Den</w:t>
      </w:r>
      <w:r w:rsidR="00C928F8">
        <w:rPr>
          <w:sz w:val="24"/>
          <w:szCs w:val="24"/>
        </w:rPr>
        <w:t xml:space="preserve"> norske</w:t>
      </w:r>
      <w:r w:rsidR="00475FD8">
        <w:rPr>
          <w:sz w:val="24"/>
          <w:szCs w:val="24"/>
        </w:rPr>
        <w:t xml:space="preserve"> </w:t>
      </w:r>
      <w:r w:rsidR="00D034F7">
        <w:rPr>
          <w:sz w:val="24"/>
          <w:szCs w:val="24"/>
        </w:rPr>
        <w:t>styrings</w:t>
      </w:r>
      <w:r>
        <w:rPr>
          <w:sz w:val="24"/>
          <w:szCs w:val="24"/>
        </w:rPr>
        <w:t xml:space="preserve">debatten  handlar om </w:t>
      </w:r>
      <w:r w:rsidR="00BE249E">
        <w:rPr>
          <w:sz w:val="24"/>
          <w:szCs w:val="24"/>
        </w:rPr>
        <w:t xml:space="preserve">kor fritt institusjonane står i </w:t>
      </w:r>
      <w:r w:rsidR="009C3D87">
        <w:rPr>
          <w:sz w:val="24"/>
          <w:szCs w:val="24"/>
        </w:rPr>
        <w:t xml:space="preserve">å </w:t>
      </w:r>
      <w:r w:rsidR="00BE249E">
        <w:rPr>
          <w:sz w:val="24"/>
          <w:szCs w:val="24"/>
        </w:rPr>
        <w:t>bestemma sin geografiske struktur.</w:t>
      </w:r>
      <w:r>
        <w:rPr>
          <w:sz w:val="24"/>
          <w:szCs w:val="24"/>
        </w:rPr>
        <w:t xml:space="preserve"> </w:t>
      </w:r>
      <w:r w:rsidR="00BE249E">
        <w:rPr>
          <w:sz w:val="24"/>
          <w:szCs w:val="24"/>
        </w:rPr>
        <w:t xml:space="preserve">Her </w:t>
      </w:r>
      <w:r>
        <w:rPr>
          <w:sz w:val="24"/>
          <w:szCs w:val="24"/>
        </w:rPr>
        <w:t>er det imidlertid o</w:t>
      </w:r>
      <w:r w:rsidR="00C37D1B">
        <w:rPr>
          <w:sz w:val="24"/>
          <w:szCs w:val="24"/>
        </w:rPr>
        <w:t>gså viktig å ha i mente at det</w:t>
      </w:r>
      <w:r>
        <w:rPr>
          <w:sz w:val="24"/>
          <w:szCs w:val="24"/>
        </w:rPr>
        <w:t xml:space="preserve"> </w:t>
      </w:r>
      <w:r w:rsidR="00BE249E">
        <w:rPr>
          <w:sz w:val="24"/>
          <w:szCs w:val="24"/>
        </w:rPr>
        <w:t xml:space="preserve">statlege </w:t>
      </w:r>
      <w:r w:rsidR="00D034F7">
        <w:rPr>
          <w:sz w:val="24"/>
          <w:szCs w:val="24"/>
        </w:rPr>
        <w:t xml:space="preserve">styrings </w:t>
      </w:r>
      <w:r>
        <w:rPr>
          <w:sz w:val="24"/>
          <w:szCs w:val="24"/>
        </w:rPr>
        <w:t xml:space="preserve">engasjementet </w:t>
      </w:r>
      <w:r w:rsidR="00C928F8">
        <w:rPr>
          <w:sz w:val="24"/>
          <w:szCs w:val="24"/>
        </w:rPr>
        <w:t xml:space="preserve">på dette feltet </w:t>
      </w:r>
      <w:r>
        <w:rPr>
          <w:sz w:val="24"/>
          <w:szCs w:val="24"/>
        </w:rPr>
        <w:t>ikkje er særnorsk.</w:t>
      </w:r>
      <w:r w:rsidR="00B14662">
        <w:rPr>
          <w:sz w:val="24"/>
          <w:szCs w:val="24"/>
        </w:rPr>
        <w:t xml:space="preserve"> I dei årlege oppdragsbrev til Uppsala universitet etter fusjonen på Høgskolen på Gotland</w:t>
      </w:r>
      <w:r w:rsidR="00C928F8">
        <w:rPr>
          <w:sz w:val="24"/>
          <w:szCs w:val="24"/>
        </w:rPr>
        <w:t xml:space="preserve"> i 2013</w:t>
      </w:r>
      <w:r w:rsidR="009C3D87">
        <w:rPr>
          <w:sz w:val="24"/>
          <w:szCs w:val="24"/>
        </w:rPr>
        <w:t>,</w:t>
      </w:r>
      <w:r w:rsidR="00B14662">
        <w:rPr>
          <w:sz w:val="24"/>
          <w:szCs w:val="24"/>
        </w:rPr>
        <w:t xml:space="preserve"> heiter det t.d. at Uppsala universitet </w:t>
      </w:r>
      <w:r w:rsidR="00B14662" w:rsidRPr="00C928F8">
        <w:rPr>
          <w:i/>
          <w:sz w:val="24"/>
          <w:szCs w:val="24"/>
        </w:rPr>
        <w:t>skal</w:t>
      </w:r>
      <w:r w:rsidR="00B14662">
        <w:rPr>
          <w:sz w:val="24"/>
          <w:szCs w:val="24"/>
        </w:rPr>
        <w:t xml:space="preserve"> driva akademisk verksemd på øya</w:t>
      </w:r>
      <w:r w:rsidR="00B14662">
        <w:rPr>
          <w:rStyle w:val="Fotnotereferanse"/>
          <w:sz w:val="24"/>
          <w:szCs w:val="24"/>
        </w:rPr>
        <w:footnoteReference w:id="19"/>
      </w:r>
      <w:r w:rsidR="00B14662">
        <w:rPr>
          <w:sz w:val="24"/>
          <w:szCs w:val="24"/>
        </w:rPr>
        <w:t>. Vi veit også at den danske regjeringa  har bla</w:t>
      </w:r>
      <w:r w:rsidR="00C37D1B">
        <w:rPr>
          <w:sz w:val="24"/>
          <w:szCs w:val="24"/>
        </w:rPr>
        <w:t>nda seg sterkt</w:t>
      </w:r>
      <w:r w:rsidR="00B14662">
        <w:rPr>
          <w:sz w:val="24"/>
          <w:szCs w:val="24"/>
        </w:rPr>
        <w:t xml:space="preserve"> inn i den territorielle organiseringa </w:t>
      </w:r>
      <w:r w:rsidR="00C928F8">
        <w:rPr>
          <w:sz w:val="24"/>
          <w:szCs w:val="24"/>
        </w:rPr>
        <w:t xml:space="preserve">i form av seks campus </w:t>
      </w:r>
      <w:r w:rsidR="00B14662">
        <w:rPr>
          <w:sz w:val="24"/>
          <w:szCs w:val="24"/>
        </w:rPr>
        <w:t>ved Syd-dansk universitet</w:t>
      </w:r>
      <w:r w:rsidR="00B14662">
        <w:rPr>
          <w:rStyle w:val="Fotnotereferanse"/>
          <w:sz w:val="24"/>
          <w:szCs w:val="24"/>
        </w:rPr>
        <w:footnoteReference w:id="20"/>
      </w:r>
      <w:r w:rsidR="00C928F8">
        <w:rPr>
          <w:sz w:val="24"/>
          <w:szCs w:val="24"/>
        </w:rPr>
        <w:t xml:space="preserve">. </w:t>
      </w:r>
      <w:r w:rsidR="00B14662">
        <w:rPr>
          <w:sz w:val="24"/>
          <w:szCs w:val="24"/>
        </w:rPr>
        <w:t xml:space="preserve"> </w:t>
      </w:r>
    </w:p>
    <w:p w14:paraId="6FEEFC7F" w14:textId="051B84B4" w:rsidR="00A33611" w:rsidRDefault="001B06AB">
      <w:pPr>
        <w:rPr>
          <w:sz w:val="24"/>
          <w:szCs w:val="24"/>
        </w:rPr>
      </w:pPr>
      <w:r>
        <w:rPr>
          <w:sz w:val="24"/>
          <w:szCs w:val="24"/>
        </w:rPr>
        <w:lastRenderedPageBreak/>
        <w:t xml:space="preserve">Ein </w:t>
      </w:r>
      <w:r w:rsidR="0031640E">
        <w:rPr>
          <w:sz w:val="24"/>
          <w:szCs w:val="24"/>
        </w:rPr>
        <w:t>stadig viktigare au</w:t>
      </w:r>
      <w:r w:rsidR="00C37D1B">
        <w:rPr>
          <w:sz w:val="24"/>
          <w:szCs w:val="24"/>
        </w:rPr>
        <w:t>tonomidebatt, handlar likevel</w:t>
      </w:r>
      <w:r w:rsidR="0031640E">
        <w:rPr>
          <w:sz w:val="24"/>
          <w:szCs w:val="24"/>
        </w:rPr>
        <w:t xml:space="preserve"> om at universiteta </w:t>
      </w:r>
      <w:r w:rsidR="00BE249E">
        <w:rPr>
          <w:sz w:val="24"/>
          <w:szCs w:val="24"/>
        </w:rPr>
        <w:t xml:space="preserve">blir del av </w:t>
      </w:r>
      <w:r w:rsidR="00C928F8">
        <w:rPr>
          <w:sz w:val="24"/>
          <w:szCs w:val="24"/>
        </w:rPr>
        <w:t>samfunnsprosessar der</w:t>
      </w:r>
      <w:r w:rsidR="00C37D1B">
        <w:rPr>
          <w:sz w:val="24"/>
          <w:szCs w:val="24"/>
        </w:rPr>
        <w:t xml:space="preserve"> mange andre aktørar enn</w:t>
      </w:r>
      <w:r w:rsidR="0031640E">
        <w:rPr>
          <w:sz w:val="24"/>
          <w:szCs w:val="24"/>
        </w:rPr>
        <w:t xml:space="preserve"> staten</w:t>
      </w:r>
      <w:r w:rsidR="00C928F8">
        <w:rPr>
          <w:sz w:val="24"/>
          <w:szCs w:val="24"/>
        </w:rPr>
        <w:t xml:space="preserve"> ønskjer å avgjera t.d. strategiar ved institusjonane. O</w:t>
      </w:r>
      <w:r w:rsidR="00452AC1">
        <w:rPr>
          <w:sz w:val="24"/>
          <w:szCs w:val="24"/>
        </w:rPr>
        <w:t xml:space="preserve">g at </w:t>
      </w:r>
      <w:r w:rsidR="00A71E15">
        <w:rPr>
          <w:sz w:val="24"/>
          <w:szCs w:val="24"/>
        </w:rPr>
        <w:t xml:space="preserve">prosessar på </w:t>
      </w:r>
      <w:r w:rsidR="00452AC1">
        <w:rPr>
          <w:sz w:val="24"/>
          <w:szCs w:val="24"/>
        </w:rPr>
        <w:t xml:space="preserve">regionnivået blir viktigare og viktigare i dette. Internasjonalt, særleg i EU systemet, </w:t>
      </w:r>
      <w:r w:rsidR="00413C06">
        <w:rPr>
          <w:sz w:val="24"/>
          <w:szCs w:val="24"/>
        </w:rPr>
        <w:t>adresserer</w:t>
      </w:r>
      <w:r w:rsidR="00452AC1">
        <w:rPr>
          <w:sz w:val="24"/>
          <w:szCs w:val="24"/>
        </w:rPr>
        <w:t xml:space="preserve"> «multilevel governance» som rettesnor for styring, dvs. ikkje berre større </w:t>
      </w:r>
      <w:r w:rsidR="00C37D1B">
        <w:rPr>
          <w:sz w:val="24"/>
          <w:szCs w:val="24"/>
        </w:rPr>
        <w:t xml:space="preserve">som </w:t>
      </w:r>
      <w:r w:rsidR="00452AC1">
        <w:rPr>
          <w:sz w:val="24"/>
          <w:szCs w:val="24"/>
        </w:rPr>
        <w:t xml:space="preserve">samhandling og «samstyring» horisontalt på ulike styringsnivå, men også </w:t>
      </w:r>
      <w:r w:rsidR="00413C06">
        <w:rPr>
          <w:sz w:val="24"/>
          <w:szCs w:val="24"/>
        </w:rPr>
        <w:t>koordinering</w:t>
      </w:r>
      <w:r w:rsidR="00452AC1">
        <w:rPr>
          <w:sz w:val="24"/>
          <w:szCs w:val="24"/>
        </w:rPr>
        <w:t xml:space="preserve"> og «tuning» mellom overnasjonalt, nasjonalt og regionalt nivå.</w:t>
      </w:r>
      <w:r w:rsidR="00D32AC6">
        <w:rPr>
          <w:sz w:val="24"/>
          <w:szCs w:val="24"/>
        </w:rPr>
        <w:t xml:space="preserve"> EU har </w:t>
      </w:r>
      <w:r w:rsidR="00452AC1">
        <w:rPr>
          <w:sz w:val="24"/>
          <w:szCs w:val="24"/>
        </w:rPr>
        <w:t>våren 2019 vedteke dei same samfunnsmåla for Horizon Europe som for ERDF</w:t>
      </w:r>
      <w:r w:rsidR="00452AC1">
        <w:rPr>
          <w:rStyle w:val="Fotnotereferanse"/>
          <w:sz w:val="24"/>
          <w:szCs w:val="24"/>
        </w:rPr>
        <w:footnoteReference w:id="21"/>
      </w:r>
      <w:r w:rsidR="00BA185F">
        <w:rPr>
          <w:sz w:val="24"/>
          <w:szCs w:val="24"/>
        </w:rPr>
        <w:t xml:space="preserve">, </w:t>
      </w:r>
      <w:r w:rsidR="00D32AC6">
        <w:rPr>
          <w:sz w:val="24"/>
          <w:szCs w:val="24"/>
        </w:rPr>
        <w:t xml:space="preserve">så kan ein spørja </w:t>
      </w:r>
      <w:r w:rsidR="00BA185F">
        <w:rPr>
          <w:sz w:val="24"/>
          <w:szCs w:val="24"/>
        </w:rPr>
        <w:t xml:space="preserve">kva </w:t>
      </w:r>
      <w:r w:rsidR="00D32AC6">
        <w:rPr>
          <w:sz w:val="24"/>
          <w:szCs w:val="24"/>
        </w:rPr>
        <w:t xml:space="preserve">det </w:t>
      </w:r>
      <w:r w:rsidR="00BA185F">
        <w:rPr>
          <w:sz w:val="24"/>
          <w:szCs w:val="24"/>
        </w:rPr>
        <w:t xml:space="preserve">gjer med europeiske universitet sine </w:t>
      </w:r>
      <w:r w:rsidR="00D32AC6">
        <w:rPr>
          <w:sz w:val="24"/>
          <w:szCs w:val="24"/>
        </w:rPr>
        <w:t xml:space="preserve">prioriteringar? </w:t>
      </w:r>
      <w:r w:rsidR="00BA185F">
        <w:rPr>
          <w:sz w:val="24"/>
          <w:szCs w:val="24"/>
        </w:rPr>
        <w:t xml:space="preserve">I Noreg kom nordområdepolitikken for 15 år sidan med sine </w:t>
      </w:r>
      <w:r w:rsidR="00D32AC6">
        <w:rPr>
          <w:sz w:val="24"/>
          <w:szCs w:val="24"/>
        </w:rPr>
        <w:t>«</w:t>
      </w:r>
      <w:r w:rsidR="00BA185F">
        <w:rPr>
          <w:sz w:val="24"/>
          <w:szCs w:val="24"/>
        </w:rPr>
        <w:t>kunnskap</w:t>
      </w:r>
      <w:r w:rsidR="00D32AC6">
        <w:rPr>
          <w:sz w:val="24"/>
          <w:szCs w:val="24"/>
        </w:rPr>
        <w:t>s</w:t>
      </w:r>
      <w:r w:rsidR="00BA185F">
        <w:rPr>
          <w:sz w:val="24"/>
          <w:szCs w:val="24"/>
        </w:rPr>
        <w:t>frontier</w:t>
      </w:r>
      <w:r w:rsidR="00D32AC6">
        <w:rPr>
          <w:sz w:val="24"/>
          <w:szCs w:val="24"/>
        </w:rPr>
        <w:t>»</w:t>
      </w:r>
      <w:r w:rsidR="00BA185F">
        <w:rPr>
          <w:sz w:val="24"/>
          <w:szCs w:val="24"/>
        </w:rPr>
        <w:t xml:space="preserve"> satsingar </w:t>
      </w:r>
      <w:r w:rsidR="00D32AC6">
        <w:rPr>
          <w:sz w:val="24"/>
          <w:szCs w:val="24"/>
        </w:rPr>
        <w:t>på</w:t>
      </w:r>
      <w:r w:rsidR="00BA185F">
        <w:rPr>
          <w:sz w:val="24"/>
          <w:szCs w:val="24"/>
        </w:rPr>
        <w:t xml:space="preserve"> utvalde område, </w:t>
      </w:r>
      <w:r w:rsidR="00D32AC6">
        <w:rPr>
          <w:sz w:val="24"/>
          <w:szCs w:val="24"/>
        </w:rPr>
        <w:t xml:space="preserve"> og </w:t>
      </w:r>
      <w:r w:rsidR="00BA185F">
        <w:rPr>
          <w:sz w:val="24"/>
          <w:szCs w:val="24"/>
        </w:rPr>
        <w:t xml:space="preserve"> har universiteta sett </w:t>
      </w:r>
      <w:r w:rsidR="00D32AC6">
        <w:rPr>
          <w:sz w:val="24"/>
          <w:szCs w:val="24"/>
        </w:rPr>
        <w:t xml:space="preserve">til </w:t>
      </w:r>
      <w:r w:rsidR="00BA185F">
        <w:rPr>
          <w:sz w:val="24"/>
          <w:szCs w:val="24"/>
        </w:rPr>
        <w:t xml:space="preserve"> denne politikken i sine val av satsinga. </w:t>
      </w:r>
      <w:r w:rsidR="00C37D1B">
        <w:rPr>
          <w:sz w:val="24"/>
          <w:szCs w:val="24"/>
        </w:rPr>
        <w:t>Og no er hav.</w:t>
      </w:r>
    </w:p>
    <w:p w14:paraId="3E59813C" w14:textId="45CA0A02" w:rsidR="003D6C34" w:rsidRDefault="00FE2D08" w:rsidP="003D6C34">
      <w:pPr>
        <w:rPr>
          <w:sz w:val="24"/>
          <w:szCs w:val="24"/>
        </w:rPr>
      </w:pPr>
      <w:r>
        <w:rPr>
          <w:sz w:val="24"/>
          <w:szCs w:val="24"/>
        </w:rPr>
        <w:t>EU bygg</w:t>
      </w:r>
      <w:r w:rsidR="00A71E15">
        <w:rPr>
          <w:sz w:val="24"/>
          <w:szCs w:val="24"/>
        </w:rPr>
        <w:t xml:space="preserve">jer sin regionalpolitikk </w:t>
      </w:r>
      <w:r>
        <w:rPr>
          <w:sz w:val="24"/>
          <w:szCs w:val="24"/>
        </w:rPr>
        <w:t xml:space="preserve">på regionanes </w:t>
      </w:r>
      <w:r w:rsidR="00D32AC6">
        <w:rPr>
          <w:sz w:val="24"/>
          <w:szCs w:val="24"/>
        </w:rPr>
        <w:t>«</w:t>
      </w:r>
      <w:r>
        <w:rPr>
          <w:sz w:val="24"/>
          <w:szCs w:val="24"/>
        </w:rPr>
        <w:t>smart spesialiseringsstrategiar</w:t>
      </w:r>
      <w:r w:rsidR="00D32AC6">
        <w:rPr>
          <w:sz w:val="24"/>
          <w:szCs w:val="24"/>
        </w:rPr>
        <w:t>»</w:t>
      </w:r>
      <w:r>
        <w:rPr>
          <w:sz w:val="24"/>
          <w:szCs w:val="24"/>
        </w:rPr>
        <w:t xml:space="preserve">, og erfaringane frå slike prosessar i EU er at i regionar med smart spesialiseringsstrategiar </w:t>
      </w:r>
      <w:r w:rsidR="00530904">
        <w:rPr>
          <w:sz w:val="24"/>
          <w:szCs w:val="24"/>
        </w:rPr>
        <w:t>er FoU institusjonane med forankring i dei enkelte regionane «tettare på»</w:t>
      </w:r>
      <w:r w:rsidR="009C3D87">
        <w:rPr>
          <w:sz w:val="24"/>
          <w:szCs w:val="24"/>
        </w:rPr>
        <w:t>,</w:t>
      </w:r>
      <w:r w:rsidR="00530904">
        <w:rPr>
          <w:sz w:val="24"/>
          <w:szCs w:val="24"/>
        </w:rPr>
        <w:t xml:space="preserve"> og at såkalla smarte regionale strategiar </w:t>
      </w:r>
      <w:r w:rsidR="00A71E15">
        <w:rPr>
          <w:sz w:val="24"/>
          <w:szCs w:val="24"/>
        </w:rPr>
        <w:t xml:space="preserve">vises </w:t>
      </w:r>
      <w:r w:rsidR="00C37D1B">
        <w:rPr>
          <w:sz w:val="24"/>
          <w:szCs w:val="24"/>
        </w:rPr>
        <w:t xml:space="preserve">i </w:t>
      </w:r>
      <w:r w:rsidR="00530904">
        <w:rPr>
          <w:sz w:val="24"/>
          <w:szCs w:val="24"/>
        </w:rPr>
        <w:t xml:space="preserve">forskingsprioteringane. I Noreg prioriterer NFRs spesifikke regionsatsing «FORREGION» t.d. regionens eksplisitte satsing på sjømat – og reiselivsnæringa. </w:t>
      </w:r>
      <w:r w:rsidR="003D6C34">
        <w:rPr>
          <w:sz w:val="24"/>
          <w:szCs w:val="24"/>
        </w:rPr>
        <w:t>OECD tilrådingar til NSPA</w:t>
      </w:r>
      <w:r w:rsidR="003D6C34">
        <w:rPr>
          <w:rStyle w:val="Fotnotereferanse"/>
          <w:sz w:val="24"/>
          <w:szCs w:val="24"/>
        </w:rPr>
        <w:footnoteReference w:id="22"/>
      </w:r>
      <w:r w:rsidR="003D6C34">
        <w:rPr>
          <w:sz w:val="24"/>
          <w:szCs w:val="24"/>
        </w:rPr>
        <w:t xml:space="preserve"> for Noreg er dei same, dvs. byggja </w:t>
      </w:r>
      <w:r w:rsidR="008B71C0">
        <w:rPr>
          <w:sz w:val="24"/>
          <w:szCs w:val="24"/>
        </w:rPr>
        <w:t>«</w:t>
      </w:r>
      <w:r w:rsidR="003D6C34">
        <w:rPr>
          <w:sz w:val="24"/>
          <w:szCs w:val="24"/>
        </w:rPr>
        <w:t>scale</w:t>
      </w:r>
      <w:r w:rsidR="008B71C0">
        <w:rPr>
          <w:sz w:val="24"/>
          <w:szCs w:val="24"/>
        </w:rPr>
        <w:t>»</w:t>
      </w:r>
      <w:r w:rsidR="003D6C34">
        <w:rPr>
          <w:sz w:val="24"/>
          <w:szCs w:val="24"/>
        </w:rPr>
        <w:t xml:space="preserve"> (frå </w:t>
      </w:r>
      <w:r w:rsidR="001B06AB">
        <w:rPr>
          <w:sz w:val="24"/>
          <w:szCs w:val="24"/>
        </w:rPr>
        <w:t>OECD tilrådingane)</w:t>
      </w:r>
      <w:r w:rsidR="003D6C34">
        <w:rPr>
          <w:sz w:val="24"/>
          <w:szCs w:val="24"/>
        </w:rPr>
        <w:t xml:space="preserve"> og nisjar i eksterne marknadar gjennom FoU i fiskeri/akvakultur og reiseliv. </w:t>
      </w:r>
    </w:p>
    <w:p w14:paraId="0ABFA042" w14:textId="4635991D" w:rsidR="00530904" w:rsidRPr="00A33611" w:rsidRDefault="00A71E15" w:rsidP="00FE2D08">
      <w:pPr>
        <w:rPr>
          <w:sz w:val="24"/>
          <w:szCs w:val="24"/>
        </w:rPr>
      </w:pPr>
      <w:r>
        <w:rPr>
          <w:sz w:val="24"/>
          <w:szCs w:val="24"/>
        </w:rPr>
        <w:t>D</w:t>
      </w:r>
      <w:r w:rsidR="00530904">
        <w:rPr>
          <w:sz w:val="24"/>
          <w:szCs w:val="24"/>
        </w:rPr>
        <w:t xml:space="preserve">et </w:t>
      </w:r>
      <w:r w:rsidR="00413C06">
        <w:rPr>
          <w:sz w:val="24"/>
          <w:szCs w:val="24"/>
        </w:rPr>
        <w:t xml:space="preserve">blir </w:t>
      </w:r>
      <w:r w:rsidR="00530904">
        <w:rPr>
          <w:sz w:val="24"/>
          <w:szCs w:val="24"/>
        </w:rPr>
        <w:t>set</w:t>
      </w:r>
      <w:r w:rsidR="00413C06">
        <w:rPr>
          <w:sz w:val="24"/>
          <w:szCs w:val="24"/>
        </w:rPr>
        <w:t>t</w:t>
      </w:r>
      <w:r w:rsidR="00530904">
        <w:rPr>
          <w:sz w:val="24"/>
          <w:szCs w:val="24"/>
        </w:rPr>
        <w:t xml:space="preserve"> kunnskapsdagsordenar utanfor universiteta </w:t>
      </w:r>
      <w:r w:rsidR="00B107D4">
        <w:rPr>
          <w:sz w:val="24"/>
          <w:szCs w:val="24"/>
        </w:rPr>
        <w:t>og høgskolane</w:t>
      </w:r>
      <w:r>
        <w:rPr>
          <w:sz w:val="24"/>
          <w:szCs w:val="24"/>
        </w:rPr>
        <w:t>s styre</w:t>
      </w:r>
      <w:r w:rsidR="00B107D4">
        <w:rPr>
          <w:sz w:val="24"/>
          <w:szCs w:val="24"/>
        </w:rPr>
        <w:t xml:space="preserve"> som meir indirekte eller implisitt vil innverka på fagleg</w:t>
      </w:r>
      <w:r>
        <w:rPr>
          <w:sz w:val="24"/>
          <w:szCs w:val="24"/>
        </w:rPr>
        <w:t xml:space="preserve"> </w:t>
      </w:r>
      <w:r w:rsidR="00C37D1B">
        <w:rPr>
          <w:sz w:val="24"/>
          <w:szCs w:val="24"/>
        </w:rPr>
        <w:t>politiske (fordelings</w:t>
      </w:r>
      <w:r w:rsidR="00B107D4">
        <w:rPr>
          <w:sz w:val="24"/>
          <w:szCs w:val="24"/>
        </w:rPr>
        <w:t>) strategiar, prio</w:t>
      </w:r>
      <w:r w:rsidR="00E77DF0">
        <w:rPr>
          <w:sz w:val="24"/>
          <w:szCs w:val="24"/>
        </w:rPr>
        <w:t>rit</w:t>
      </w:r>
      <w:r w:rsidR="00B107D4">
        <w:rPr>
          <w:sz w:val="24"/>
          <w:szCs w:val="24"/>
        </w:rPr>
        <w:t>eringar og kommunikasjon ved institusjonane. At slike dagsordenarar meir og meir har regionale utspring, og at universiteta gjennom si sterke regionale forankring bli</w:t>
      </w:r>
      <w:r w:rsidR="00D32AC6">
        <w:rPr>
          <w:sz w:val="24"/>
          <w:szCs w:val="24"/>
        </w:rPr>
        <w:t>r</w:t>
      </w:r>
      <w:r w:rsidR="00B107D4">
        <w:rPr>
          <w:sz w:val="24"/>
          <w:szCs w:val="24"/>
        </w:rPr>
        <w:t xml:space="preserve"> ein del av dette</w:t>
      </w:r>
      <w:r w:rsidR="001B06AB">
        <w:rPr>
          <w:sz w:val="24"/>
          <w:szCs w:val="24"/>
        </w:rPr>
        <w:t>.</w:t>
      </w:r>
      <w:r>
        <w:rPr>
          <w:sz w:val="24"/>
          <w:szCs w:val="24"/>
        </w:rPr>
        <w:t xml:space="preserve"> D</w:t>
      </w:r>
      <w:r w:rsidR="00B107D4">
        <w:rPr>
          <w:sz w:val="24"/>
          <w:szCs w:val="24"/>
        </w:rPr>
        <w:t xml:space="preserve">enne, gjerne </w:t>
      </w:r>
      <w:r w:rsidR="00BD4C46">
        <w:rPr>
          <w:sz w:val="24"/>
          <w:szCs w:val="24"/>
        </w:rPr>
        <w:t>«</w:t>
      </w:r>
      <w:r>
        <w:rPr>
          <w:sz w:val="24"/>
          <w:szCs w:val="24"/>
        </w:rPr>
        <w:t>vesle autonomidebatten», kan vera</w:t>
      </w:r>
      <w:r w:rsidR="00B107D4">
        <w:rPr>
          <w:sz w:val="24"/>
          <w:szCs w:val="24"/>
        </w:rPr>
        <w:t xml:space="preserve"> viktigare enn den store når det kjem til praktiske konsekvensar ved universiteta.</w:t>
      </w:r>
      <w:r w:rsidR="003D6C34">
        <w:rPr>
          <w:sz w:val="24"/>
          <w:szCs w:val="24"/>
        </w:rPr>
        <w:t xml:space="preserve"> </w:t>
      </w:r>
    </w:p>
    <w:p w14:paraId="452A868F" w14:textId="77777777" w:rsidR="00C37D1B" w:rsidRDefault="00C37D1B">
      <w:pPr>
        <w:rPr>
          <w:sz w:val="32"/>
          <w:szCs w:val="32"/>
        </w:rPr>
      </w:pPr>
    </w:p>
    <w:p w14:paraId="7473C60F" w14:textId="3F0F3329" w:rsidR="008B71C0" w:rsidRPr="008B71C0" w:rsidRDefault="008F0543">
      <w:pPr>
        <w:rPr>
          <w:sz w:val="32"/>
          <w:szCs w:val="32"/>
        </w:rPr>
      </w:pPr>
      <w:r>
        <w:rPr>
          <w:sz w:val="32"/>
          <w:szCs w:val="32"/>
        </w:rPr>
        <w:t xml:space="preserve">Noe for </w:t>
      </w:r>
      <w:r w:rsidR="008B71C0" w:rsidRPr="008B71C0">
        <w:rPr>
          <w:sz w:val="32"/>
          <w:szCs w:val="32"/>
        </w:rPr>
        <w:t>lova</w:t>
      </w:r>
      <w:r>
        <w:rPr>
          <w:sz w:val="32"/>
          <w:szCs w:val="32"/>
        </w:rPr>
        <w:t>?</w:t>
      </w:r>
    </w:p>
    <w:p w14:paraId="456420E6" w14:textId="4F1565C3" w:rsidR="001B06AB" w:rsidRDefault="00D32AC6">
      <w:pPr>
        <w:rPr>
          <w:sz w:val="24"/>
          <w:szCs w:val="24"/>
        </w:rPr>
      </w:pPr>
      <w:r>
        <w:rPr>
          <w:sz w:val="24"/>
          <w:szCs w:val="24"/>
        </w:rPr>
        <w:t>Notatet argumenterer for at norske universitet og høgskolar er sterkt forankra regionalt</w:t>
      </w:r>
      <w:r w:rsidR="00BD4C46">
        <w:rPr>
          <w:sz w:val="24"/>
          <w:szCs w:val="24"/>
        </w:rPr>
        <w:t>.</w:t>
      </w:r>
      <w:r>
        <w:rPr>
          <w:sz w:val="24"/>
          <w:szCs w:val="24"/>
        </w:rPr>
        <w:t xml:space="preserve"> </w:t>
      </w:r>
      <w:r w:rsidR="00A71E15">
        <w:rPr>
          <w:sz w:val="24"/>
          <w:szCs w:val="24"/>
        </w:rPr>
        <w:t>S</w:t>
      </w:r>
      <w:r w:rsidR="001B06AB">
        <w:rPr>
          <w:sz w:val="24"/>
          <w:szCs w:val="24"/>
        </w:rPr>
        <w:t xml:space="preserve">å sterk er forankringa at regionane er ein </w:t>
      </w:r>
      <w:r w:rsidR="00C37D1B">
        <w:rPr>
          <w:sz w:val="24"/>
          <w:szCs w:val="24"/>
        </w:rPr>
        <w:t xml:space="preserve">sterk </w:t>
      </w:r>
      <w:r w:rsidR="001B06AB">
        <w:rPr>
          <w:sz w:val="24"/>
          <w:szCs w:val="24"/>
        </w:rPr>
        <w:t>del av røyndo</w:t>
      </w:r>
      <w:r w:rsidR="00A71E15">
        <w:rPr>
          <w:sz w:val="24"/>
          <w:szCs w:val="24"/>
        </w:rPr>
        <w:t xml:space="preserve">mmen institusjonane opererer i og gir </w:t>
      </w:r>
      <w:r w:rsidR="00997F89">
        <w:rPr>
          <w:sz w:val="24"/>
          <w:szCs w:val="24"/>
        </w:rPr>
        <w:t xml:space="preserve">viktige føresetnader for utvikling av dei same institusjonane. </w:t>
      </w:r>
    </w:p>
    <w:p w14:paraId="18823599" w14:textId="4E67DEEA" w:rsidR="00D32AC6" w:rsidRDefault="00997F89">
      <w:pPr>
        <w:rPr>
          <w:sz w:val="24"/>
          <w:szCs w:val="24"/>
        </w:rPr>
      </w:pPr>
      <w:r>
        <w:rPr>
          <w:sz w:val="24"/>
          <w:szCs w:val="24"/>
        </w:rPr>
        <w:t>Staten formulerer</w:t>
      </w:r>
      <w:r w:rsidR="001B06AB">
        <w:rPr>
          <w:sz w:val="24"/>
          <w:szCs w:val="24"/>
        </w:rPr>
        <w:t xml:space="preserve"> gjennom </w:t>
      </w:r>
      <w:r w:rsidR="00A71E15">
        <w:rPr>
          <w:sz w:val="24"/>
          <w:szCs w:val="24"/>
        </w:rPr>
        <w:t>UH-</w:t>
      </w:r>
      <w:r w:rsidR="001B06AB">
        <w:rPr>
          <w:sz w:val="24"/>
          <w:szCs w:val="24"/>
        </w:rPr>
        <w:t>lov</w:t>
      </w:r>
      <w:r w:rsidR="00A71E15">
        <w:rPr>
          <w:sz w:val="24"/>
          <w:szCs w:val="24"/>
        </w:rPr>
        <w:t xml:space="preserve">a </w:t>
      </w:r>
      <w:r w:rsidR="001B06AB">
        <w:rPr>
          <w:sz w:val="24"/>
          <w:szCs w:val="24"/>
        </w:rPr>
        <w:t xml:space="preserve"> </w:t>
      </w:r>
      <w:r w:rsidR="006F431A">
        <w:rPr>
          <w:sz w:val="24"/>
          <w:szCs w:val="24"/>
        </w:rPr>
        <w:t xml:space="preserve">dei </w:t>
      </w:r>
      <w:r w:rsidR="00BD4C46">
        <w:rPr>
          <w:sz w:val="24"/>
          <w:szCs w:val="24"/>
        </w:rPr>
        <w:t>rettar og plikter</w:t>
      </w:r>
      <w:r w:rsidR="00A71E15">
        <w:rPr>
          <w:sz w:val="24"/>
          <w:szCs w:val="24"/>
        </w:rPr>
        <w:t xml:space="preserve"> universiteta og høgskolane</w:t>
      </w:r>
      <w:r w:rsidR="006F431A">
        <w:rPr>
          <w:sz w:val="24"/>
          <w:szCs w:val="24"/>
        </w:rPr>
        <w:t xml:space="preserve"> har når dei opererer i viktige samfunnskontekstar</w:t>
      </w:r>
      <w:r>
        <w:rPr>
          <w:sz w:val="24"/>
          <w:szCs w:val="24"/>
        </w:rPr>
        <w:t>. Når den regionale posisjonen er ein viktig del av røyndommen til institusjonane, og det er knytt sterke forventingar i samfunnet til at det skal vera slik</w:t>
      </w:r>
      <w:r w:rsidR="00BD4C46">
        <w:rPr>
          <w:sz w:val="24"/>
          <w:szCs w:val="24"/>
        </w:rPr>
        <w:t>,</w:t>
      </w:r>
      <w:r>
        <w:rPr>
          <w:sz w:val="24"/>
          <w:szCs w:val="24"/>
        </w:rPr>
        <w:t xml:space="preserve"> burde det vera ein grunn til å vurdera om </w:t>
      </w:r>
      <w:r w:rsidR="006F431A">
        <w:rPr>
          <w:sz w:val="24"/>
          <w:szCs w:val="24"/>
        </w:rPr>
        <w:t xml:space="preserve">det er noen, særleg,  plikter som </w:t>
      </w:r>
      <w:r>
        <w:rPr>
          <w:sz w:val="24"/>
          <w:szCs w:val="24"/>
        </w:rPr>
        <w:t xml:space="preserve"> burde </w:t>
      </w:r>
      <w:r w:rsidR="006F431A">
        <w:rPr>
          <w:sz w:val="24"/>
          <w:szCs w:val="24"/>
        </w:rPr>
        <w:t xml:space="preserve">eller kunne </w:t>
      </w:r>
      <w:r>
        <w:rPr>
          <w:sz w:val="24"/>
          <w:szCs w:val="24"/>
        </w:rPr>
        <w:t>ha ein plass i UH-lova.</w:t>
      </w:r>
      <w:r w:rsidR="00E512BC">
        <w:rPr>
          <w:sz w:val="24"/>
          <w:szCs w:val="24"/>
        </w:rPr>
        <w:t xml:space="preserve"> Eit aspekt ved dette er at sektoren etter strukturreformen er endra samanlikna med t.d. 2005 då dagens lov kom</w:t>
      </w:r>
      <w:r w:rsidR="00FA033E">
        <w:rPr>
          <w:sz w:val="24"/>
          <w:szCs w:val="24"/>
        </w:rPr>
        <w:t>. R</w:t>
      </w:r>
      <w:r w:rsidR="003D12F5">
        <w:rPr>
          <w:sz w:val="24"/>
          <w:szCs w:val="24"/>
        </w:rPr>
        <w:t>øyndommen rundt institusjonane</w:t>
      </w:r>
      <w:r w:rsidR="00FA033E">
        <w:rPr>
          <w:sz w:val="24"/>
          <w:szCs w:val="24"/>
        </w:rPr>
        <w:t xml:space="preserve"> er såleis endra</w:t>
      </w:r>
      <w:r w:rsidR="00E512BC">
        <w:rPr>
          <w:sz w:val="24"/>
          <w:szCs w:val="24"/>
        </w:rPr>
        <w:t>.</w:t>
      </w:r>
      <w:r w:rsidR="006F431A">
        <w:rPr>
          <w:sz w:val="24"/>
          <w:szCs w:val="24"/>
        </w:rPr>
        <w:t xml:space="preserve"> </w:t>
      </w:r>
    </w:p>
    <w:p w14:paraId="14A65B8A" w14:textId="30CA5B20" w:rsidR="00D27033" w:rsidRPr="00D27033" w:rsidRDefault="00FA033E">
      <w:pPr>
        <w:rPr>
          <w:sz w:val="24"/>
          <w:szCs w:val="24"/>
        </w:rPr>
      </w:pPr>
      <w:r>
        <w:rPr>
          <w:sz w:val="24"/>
          <w:szCs w:val="24"/>
        </w:rPr>
        <w:lastRenderedPageBreak/>
        <w:t xml:space="preserve">Ut i frå resonnementa i notatet er det nærliggjande at </w:t>
      </w:r>
      <w:r w:rsidR="00D27033">
        <w:rPr>
          <w:sz w:val="24"/>
          <w:szCs w:val="24"/>
        </w:rPr>
        <w:t>utvalet vurderer det regionale sin plass</w:t>
      </w:r>
      <w:r>
        <w:rPr>
          <w:sz w:val="24"/>
          <w:szCs w:val="24"/>
        </w:rPr>
        <w:t xml:space="preserve"> i lova </w:t>
      </w:r>
      <w:r w:rsidR="007B3F2D">
        <w:rPr>
          <w:sz w:val="24"/>
          <w:szCs w:val="24"/>
        </w:rPr>
        <w:t xml:space="preserve">i høve til </w:t>
      </w:r>
      <w:r>
        <w:rPr>
          <w:sz w:val="24"/>
          <w:szCs w:val="24"/>
        </w:rPr>
        <w:t xml:space="preserve">tre tilhøve:  </w:t>
      </w:r>
    </w:p>
    <w:p w14:paraId="13A48F4A" w14:textId="1AB21462" w:rsidR="00FA033E" w:rsidRPr="008251C8" w:rsidRDefault="00D546FC" w:rsidP="008251C8">
      <w:pPr>
        <w:pStyle w:val="Listeavsnitt"/>
        <w:numPr>
          <w:ilvl w:val="0"/>
          <w:numId w:val="7"/>
        </w:numPr>
        <w:rPr>
          <w:sz w:val="24"/>
          <w:szCs w:val="24"/>
        </w:rPr>
      </w:pPr>
      <w:r>
        <w:rPr>
          <w:sz w:val="24"/>
          <w:szCs w:val="24"/>
        </w:rPr>
        <w:t>Å s</w:t>
      </w:r>
      <w:r w:rsidR="00FA033E">
        <w:rPr>
          <w:sz w:val="24"/>
          <w:szCs w:val="24"/>
        </w:rPr>
        <w:t xml:space="preserve">lå fast ei plikt til </w:t>
      </w:r>
      <w:r w:rsidR="00FA033E" w:rsidRPr="00FA033E">
        <w:rPr>
          <w:i/>
          <w:sz w:val="24"/>
          <w:szCs w:val="24"/>
        </w:rPr>
        <w:t>tilgjenge</w:t>
      </w:r>
      <w:r w:rsidR="00FA033E">
        <w:rPr>
          <w:sz w:val="24"/>
          <w:szCs w:val="24"/>
        </w:rPr>
        <w:t xml:space="preserve">. </w:t>
      </w:r>
      <w:r w:rsidR="00292D9A" w:rsidRPr="00FA033E">
        <w:rPr>
          <w:sz w:val="24"/>
          <w:szCs w:val="24"/>
        </w:rPr>
        <w:t>Ved ei lovfesting vil dette bety ei plikt for institusjonane</w:t>
      </w:r>
      <w:r w:rsidR="00FA033E">
        <w:rPr>
          <w:sz w:val="24"/>
          <w:szCs w:val="24"/>
        </w:rPr>
        <w:t xml:space="preserve"> å vurdera </w:t>
      </w:r>
      <w:r w:rsidR="00D27033" w:rsidRPr="00FA033E">
        <w:rPr>
          <w:sz w:val="24"/>
          <w:szCs w:val="24"/>
        </w:rPr>
        <w:t>tilgjenge som del av kvalitet</w:t>
      </w:r>
      <w:r w:rsidR="00065057" w:rsidRPr="00FA033E">
        <w:rPr>
          <w:sz w:val="24"/>
          <w:szCs w:val="24"/>
        </w:rPr>
        <w:t>svurderinga av</w:t>
      </w:r>
      <w:r w:rsidR="008251C8">
        <w:rPr>
          <w:sz w:val="24"/>
          <w:szCs w:val="24"/>
        </w:rPr>
        <w:t xml:space="preserve"> alle studieprogram.</w:t>
      </w:r>
      <w:r w:rsidR="00D27033" w:rsidRPr="00FA033E">
        <w:rPr>
          <w:sz w:val="24"/>
          <w:szCs w:val="24"/>
        </w:rPr>
        <w:t xml:space="preserve"> </w:t>
      </w:r>
      <w:r w:rsidR="00065057" w:rsidRPr="00FA033E">
        <w:rPr>
          <w:sz w:val="24"/>
          <w:szCs w:val="24"/>
        </w:rPr>
        <w:t>Ei lovformulering medføra ei plikt for styret</w:t>
      </w:r>
      <w:r w:rsidR="00D27033" w:rsidRPr="00FA033E">
        <w:rPr>
          <w:sz w:val="24"/>
          <w:szCs w:val="24"/>
        </w:rPr>
        <w:t xml:space="preserve"> å </w:t>
      </w:r>
      <w:r w:rsidR="008251C8">
        <w:rPr>
          <w:sz w:val="24"/>
          <w:szCs w:val="24"/>
        </w:rPr>
        <w:t xml:space="preserve">følgja opp dette i t.d. sine vedtak av studieprogram. </w:t>
      </w:r>
      <w:r w:rsidR="00065057" w:rsidRPr="00FA033E">
        <w:rPr>
          <w:sz w:val="24"/>
          <w:szCs w:val="24"/>
        </w:rPr>
        <w:t xml:space="preserve"> </w:t>
      </w:r>
      <w:r w:rsidR="00292D9A" w:rsidRPr="00FA033E">
        <w:rPr>
          <w:sz w:val="24"/>
          <w:szCs w:val="24"/>
        </w:rPr>
        <w:t>Dette kan knytast til at tilgjenge skal inngå kvalitetsvurderingane institusjonane sjølv gjer</w:t>
      </w:r>
      <w:r w:rsidR="00BD4C46" w:rsidRPr="00FA033E">
        <w:rPr>
          <w:sz w:val="24"/>
          <w:szCs w:val="24"/>
        </w:rPr>
        <w:t>,</w:t>
      </w:r>
      <w:r w:rsidR="00292D9A" w:rsidRPr="00FA033E">
        <w:rPr>
          <w:sz w:val="24"/>
          <w:szCs w:val="24"/>
        </w:rPr>
        <w:t xml:space="preserve"> og dei NOKUT gjer. </w:t>
      </w:r>
      <w:r w:rsidR="008251C8">
        <w:rPr>
          <w:sz w:val="24"/>
          <w:szCs w:val="24"/>
        </w:rPr>
        <w:t xml:space="preserve">Dette kan grunngjevast i forventningar knytt til å </w:t>
      </w:r>
      <w:r w:rsidR="007B3F2D">
        <w:rPr>
          <w:sz w:val="24"/>
          <w:szCs w:val="24"/>
        </w:rPr>
        <w:t xml:space="preserve">vurdera </w:t>
      </w:r>
      <w:r w:rsidR="00C37D1B">
        <w:rPr>
          <w:sz w:val="24"/>
          <w:szCs w:val="24"/>
        </w:rPr>
        <w:t xml:space="preserve">for å </w:t>
      </w:r>
      <w:r w:rsidR="008251C8">
        <w:rPr>
          <w:sz w:val="24"/>
          <w:szCs w:val="24"/>
        </w:rPr>
        <w:t>sikra</w:t>
      </w:r>
      <w:r w:rsidR="00FA033E" w:rsidRPr="008251C8">
        <w:rPr>
          <w:sz w:val="24"/>
          <w:szCs w:val="24"/>
        </w:rPr>
        <w:t xml:space="preserve"> tilgjenge </w:t>
      </w:r>
      <w:r w:rsidR="008251C8">
        <w:rPr>
          <w:sz w:val="24"/>
          <w:szCs w:val="24"/>
        </w:rPr>
        <w:t xml:space="preserve">til høgre utdanning </w:t>
      </w:r>
      <w:r w:rsidR="00FA033E" w:rsidRPr="008251C8">
        <w:rPr>
          <w:sz w:val="24"/>
          <w:szCs w:val="24"/>
        </w:rPr>
        <w:t xml:space="preserve">uavhengig av bustad, men kanskje også livsfase og etnisitet. </w:t>
      </w:r>
      <w:r w:rsidR="008251C8">
        <w:rPr>
          <w:sz w:val="24"/>
          <w:szCs w:val="24"/>
        </w:rPr>
        <w:t xml:space="preserve">Det kan også vurderast om slik tilgjengeplikt primært skal knytast til dei enkelte institusjonanes kjerneregion, som notatet de facto argumenterer for. Det er også klart at rammene for å oppfylla tilgjenge vil variera mellom institusjonane og </w:t>
      </w:r>
      <w:r w:rsidR="00122A57">
        <w:rPr>
          <w:sz w:val="24"/>
          <w:szCs w:val="24"/>
        </w:rPr>
        <w:t>at realiseringa vil også handla om ressursar som det</w:t>
      </w:r>
      <w:r w:rsidR="008251C8">
        <w:rPr>
          <w:sz w:val="24"/>
          <w:szCs w:val="24"/>
        </w:rPr>
        <w:t xml:space="preserve"> vil vera forventa at lovgjevar syter for.</w:t>
      </w:r>
    </w:p>
    <w:p w14:paraId="44E7373F" w14:textId="744F29B4" w:rsidR="00E512BC" w:rsidRDefault="00FA7D2F" w:rsidP="00292D9A">
      <w:pPr>
        <w:pStyle w:val="Listeavsnitt"/>
        <w:numPr>
          <w:ilvl w:val="0"/>
          <w:numId w:val="7"/>
        </w:numPr>
        <w:rPr>
          <w:sz w:val="24"/>
          <w:szCs w:val="24"/>
        </w:rPr>
      </w:pPr>
      <w:r>
        <w:rPr>
          <w:sz w:val="24"/>
          <w:szCs w:val="24"/>
        </w:rPr>
        <w:t>Å slå fast e</w:t>
      </w:r>
      <w:r w:rsidR="008251C8">
        <w:rPr>
          <w:sz w:val="24"/>
          <w:szCs w:val="24"/>
        </w:rPr>
        <w:t xml:space="preserve">i plikt om </w:t>
      </w:r>
      <w:r w:rsidR="008251C8" w:rsidRPr="00D546FC">
        <w:rPr>
          <w:i/>
          <w:sz w:val="24"/>
          <w:szCs w:val="24"/>
        </w:rPr>
        <w:t>kvalitet ved</w:t>
      </w:r>
      <w:r w:rsidR="00FA033E" w:rsidRPr="00D546FC">
        <w:rPr>
          <w:i/>
          <w:sz w:val="24"/>
          <w:szCs w:val="24"/>
        </w:rPr>
        <w:t xml:space="preserve"> alle tilgjengeleg fagmiljø</w:t>
      </w:r>
      <w:r w:rsidR="00FA033E" w:rsidRPr="008251C8">
        <w:rPr>
          <w:sz w:val="24"/>
          <w:szCs w:val="24"/>
        </w:rPr>
        <w:t xml:space="preserve"> uavhengig av kor dei er geografisk lokaliserte</w:t>
      </w:r>
      <w:r w:rsidR="00647C87">
        <w:rPr>
          <w:sz w:val="24"/>
          <w:szCs w:val="24"/>
        </w:rPr>
        <w:t xml:space="preserve"> i</w:t>
      </w:r>
      <w:r>
        <w:rPr>
          <w:sz w:val="24"/>
          <w:szCs w:val="24"/>
        </w:rPr>
        <w:t xml:space="preserve"> den enkelte ins</w:t>
      </w:r>
      <w:r w:rsidR="008251C8">
        <w:rPr>
          <w:sz w:val="24"/>
          <w:szCs w:val="24"/>
        </w:rPr>
        <w:t>t</w:t>
      </w:r>
      <w:r>
        <w:rPr>
          <w:sz w:val="24"/>
          <w:szCs w:val="24"/>
        </w:rPr>
        <w:t>itu</w:t>
      </w:r>
      <w:r w:rsidR="008251C8">
        <w:rPr>
          <w:sz w:val="24"/>
          <w:szCs w:val="24"/>
        </w:rPr>
        <w:t>sjonen</w:t>
      </w:r>
      <w:r w:rsidR="00FA033E" w:rsidRPr="008251C8">
        <w:rPr>
          <w:sz w:val="24"/>
          <w:szCs w:val="24"/>
        </w:rPr>
        <w:t xml:space="preserve">. </w:t>
      </w:r>
      <w:r w:rsidR="0039791E" w:rsidRPr="008251C8">
        <w:rPr>
          <w:sz w:val="24"/>
          <w:szCs w:val="24"/>
        </w:rPr>
        <w:t xml:space="preserve">Lova kan </w:t>
      </w:r>
      <w:r>
        <w:rPr>
          <w:sz w:val="24"/>
          <w:szCs w:val="24"/>
        </w:rPr>
        <w:t xml:space="preserve">t.d. </w:t>
      </w:r>
      <w:r w:rsidR="0039791E" w:rsidRPr="008251C8">
        <w:rPr>
          <w:sz w:val="24"/>
          <w:szCs w:val="24"/>
        </w:rPr>
        <w:t xml:space="preserve">påleggja institusjonane å syta for at </w:t>
      </w:r>
      <w:r w:rsidR="00754886">
        <w:rPr>
          <w:sz w:val="24"/>
          <w:szCs w:val="24"/>
        </w:rPr>
        <w:t xml:space="preserve">alle studentar skal vera del av studiestader som </w:t>
      </w:r>
      <w:r w:rsidR="004C31E3" w:rsidRPr="008251C8">
        <w:rPr>
          <w:sz w:val="24"/>
          <w:szCs w:val="24"/>
        </w:rPr>
        <w:t xml:space="preserve">skal «erbjuda en akademisk miljö för fullvärdig utbildning og och forsking», for </w:t>
      </w:r>
      <w:r w:rsidR="00647C87">
        <w:rPr>
          <w:sz w:val="24"/>
          <w:szCs w:val="24"/>
        </w:rPr>
        <w:t xml:space="preserve">å </w:t>
      </w:r>
      <w:r w:rsidR="004C31E3" w:rsidRPr="008251C8">
        <w:rPr>
          <w:sz w:val="24"/>
          <w:szCs w:val="24"/>
        </w:rPr>
        <w:t xml:space="preserve">låna formuleringa frå Sverige og Uppsala universitet. </w:t>
      </w:r>
      <w:r w:rsidR="00647C87">
        <w:rPr>
          <w:sz w:val="24"/>
          <w:szCs w:val="24"/>
        </w:rPr>
        <w:t>Formuleringa</w:t>
      </w:r>
      <w:r w:rsidR="00001E09" w:rsidRPr="008251C8">
        <w:rPr>
          <w:sz w:val="24"/>
          <w:szCs w:val="24"/>
        </w:rPr>
        <w:t xml:space="preserve"> understreka a</w:t>
      </w:r>
      <w:r w:rsidR="00647C87">
        <w:rPr>
          <w:sz w:val="24"/>
          <w:szCs w:val="24"/>
        </w:rPr>
        <w:t>t det er universitetet</w:t>
      </w:r>
      <w:r w:rsidR="00001E09" w:rsidRPr="008251C8">
        <w:rPr>
          <w:sz w:val="24"/>
          <w:szCs w:val="24"/>
        </w:rPr>
        <w:t xml:space="preserve"> som er ansvarleg for dette, og ikkje de facto det enkelte campus. </w:t>
      </w:r>
      <w:r>
        <w:rPr>
          <w:sz w:val="24"/>
          <w:szCs w:val="24"/>
        </w:rPr>
        <w:t xml:space="preserve"> Ei sentral målsetjing ved strukturreformen var jo også at ein samla stor institusjon skulle utvikla det enkelte campus, eller dei «gamle» høgskolane. Lova vil gje </w:t>
      </w:r>
      <w:r w:rsidR="008251C8" w:rsidRPr="00FA7D2F">
        <w:rPr>
          <w:sz w:val="24"/>
          <w:szCs w:val="24"/>
        </w:rPr>
        <w:t>styr</w:t>
      </w:r>
      <w:r>
        <w:rPr>
          <w:sz w:val="24"/>
          <w:szCs w:val="24"/>
        </w:rPr>
        <w:t>a</w:t>
      </w:r>
      <w:r w:rsidR="008251C8" w:rsidRPr="00FA7D2F">
        <w:rPr>
          <w:sz w:val="24"/>
          <w:szCs w:val="24"/>
        </w:rPr>
        <w:t xml:space="preserve"> rett (og ei plikt) til å bestemma at </w:t>
      </w:r>
      <w:r>
        <w:rPr>
          <w:sz w:val="24"/>
          <w:szCs w:val="24"/>
        </w:rPr>
        <w:t xml:space="preserve">om desse her </w:t>
      </w:r>
      <w:r w:rsidR="008251C8" w:rsidRPr="00FA7D2F">
        <w:rPr>
          <w:sz w:val="24"/>
          <w:szCs w:val="24"/>
        </w:rPr>
        <w:t xml:space="preserve">krava </w:t>
      </w:r>
      <w:r>
        <w:rPr>
          <w:sz w:val="24"/>
          <w:szCs w:val="24"/>
        </w:rPr>
        <w:t xml:space="preserve">er </w:t>
      </w:r>
      <w:r w:rsidR="008251C8" w:rsidRPr="00FA7D2F">
        <w:rPr>
          <w:sz w:val="24"/>
          <w:szCs w:val="24"/>
        </w:rPr>
        <w:t xml:space="preserve">oppfylt og ein rett (og plikt) til å avgjera kva institusjonane vil gjera med dette. </w:t>
      </w:r>
      <w:r w:rsidR="00001E09" w:rsidRPr="00FA7D2F">
        <w:rPr>
          <w:sz w:val="24"/>
          <w:szCs w:val="24"/>
        </w:rPr>
        <w:t xml:space="preserve"> </w:t>
      </w:r>
    </w:p>
    <w:p w14:paraId="55E14274" w14:textId="301B1D28" w:rsidR="0036550D" w:rsidRPr="0036550D" w:rsidRDefault="00FA7D2F" w:rsidP="0036550D">
      <w:pPr>
        <w:pStyle w:val="Listeavsnitt"/>
        <w:numPr>
          <w:ilvl w:val="0"/>
          <w:numId w:val="7"/>
        </w:numPr>
        <w:rPr>
          <w:sz w:val="24"/>
          <w:szCs w:val="24"/>
        </w:rPr>
      </w:pPr>
      <w:r w:rsidRPr="0036550D">
        <w:rPr>
          <w:sz w:val="24"/>
          <w:szCs w:val="24"/>
        </w:rPr>
        <w:t xml:space="preserve">Å </w:t>
      </w:r>
      <w:r w:rsidR="00B074C9" w:rsidRPr="0036550D">
        <w:rPr>
          <w:sz w:val="24"/>
          <w:szCs w:val="24"/>
        </w:rPr>
        <w:t>vurder</w:t>
      </w:r>
      <w:r w:rsidRPr="0036550D">
        <w:rPr>
          <w:sz w:val="24"/>
          <w:szCs w:val="24"/>
        </w:rPr>
        <w:t>a</w:t>
      </w:r>
      <w:r w:rsidR="00B074C9" w:rsidRPr="0036550D">
        <w:rPr>
          <w:sz w:val="24"/>
          <w:szCs w:val="24"/>
        </w:rPr>
        <w:t xml:space="preserve"> om dei forventingane staten har om </w:t>
      </w:r>
      <w:r w:rsidR="00B074C9" w:rsidRPr="0036550D">
        <w:rPr>
          <w:i/>
          <w:sz w:val="24"/>
          <w:szCs w:val="24"/>
        </w:rPr>
        <w:t xml:space="preserve">deltaking i arbeidet med regional planlegging </w:t>
      </w:r>
      <w:r w:rsidR="00B074C9" w:rsidRPr="0036550D">
        <w:rPr>
          <w:sz w:val="24"/>
          <w:szCs w:val="24"/>
        </w:rPr>
        <w:t>er tilstrekkeleg dekka gjennom UH lova § 1-3 h</w:t>
      </w:r>
      <w:r w:rsidRPr="0036550D">
        <w:rPr>
          <w:sz w:val="24"/>
          <w:szCs w:val="24"/>
        </w:rPr>
        <w:t xml:space="preserve">, </w:t>
      </w:r>
      <w:r w:rsidR="00B074C9" w:rsidRPr="0036550D">
        <w:rPr>
          <w:sz w:val="24"/>
          <w:szCs w:val="24"/>
        </w:rPr>
        <w:t xml:space="preserve"> og </w:t>
      </w:r>
      <w:r w:rsidRPr="0036550D">
        <w:rPr>
          <w:sz w:val="24"/>
          <w:szCs w:val="24"/>
        </w:rPr>
        <w:t xml:space="preserve">om institusjonanes posisjon i  det som ofte </w:t>
      </w:r>
      <w:r w:rsidR="0036550D" w:rsidRPr="0036550D">
        <w:rPr>
          <w:sz w:val="24"/>
          <w:szCs w:val="24"/>
        </w:rPr>
        <w:t xml:space="preserve">regionalt blir sett sjå </w:t>
      </w:r>
      <w:r w:rsidRPr="0036550D">
        <w:rPr>
          <w:sz w:val="24"/>
          <w:szCs w:val="24"/>
        </w:rPr>
        <w:t xml:space="preserve">på som samstyring er dekka i </w:t>
      </w:r>
      <w:r w:rsidR="00B074C9" w:rsidRPr="0036550D">
        <w:rPr>
          <w:sz w:val="24"/>
          <w:szCs w:val="24"/>
        </w:rPr>
        <w:t>§ 9-1.  Notatet siterte</w:t>
      </w:r>
      <w:r w:rsidRPr="0036550D">
        <w:rPr>
          <w:sz w:val="24"/>
          <w:szCs w:val="24"/>
        </w:rPr>
        <w:t xml:space="preserve"> frå regionmeldinga at  staten formidlar</w:t>
      </w:r>
      <w:r w:rsidR="00B074C9" w:rsidRPr="0036550D">
        <w:rPr>
          <w:sz w:val="24"/>
          <w:szCs w:val="24"/>
        </w:rPr>
        <w:t xml:space="preserve"> klare </w:t>
      </w:r>
      <w:r w:rsidRPr="0036550D">
        <w:rPr>
          <w:sz w:val="24"/>
          <w:szCs w:val="24"/>
        </w:rPr>
        <w:t>forventninga</w:t>
      </w:r>
      <w:r w:rsidR="00B074C9" w:rsidRPr="0036550D">
        <w:rPr>
          <w:sz w:val="24"/>
          <w:szCs w:val="24"/>
        </w:rPr>
        <w:t>r</w:t>
      </w:r>
      <w:r w:rsidR="00D546FC" w:rsidRPr="0036550D">
        <w:rPr>
          <w:sz w:val="24"/>
          <w:szCs w:val="24"/>
        </w:rPr>
        <w:t xml:space="preserve"> </w:t>
      </w:r>
      <w:r w:rsidR="00B074C9" w:rsidRPr="0036550D">
        <w:rPr>
          <w:sz w:val="24"/>
          <w:szCs w:val="24"/>
        </w:rPr>
        <w:t xml:space="preserve">om </w:t>
      </w:r>
      <w:r w:rsidR="00D546FC" w:rsidRPr="0036550D">
        <w:rPr>
          <w:sz w:val="24"/>
          <w:szCs w:val="24"/>
        </w:rPr>
        <w:t>at sektoren deltar i utforming</w:t>
      </w:r>
      <w:r w:rsidR="00B074C9" w:rsidRPr="0036550D">
        <w:rPr>
          <w:sz w:val="24"/>
          <w:szCs w:val="24"/>
        </w:rPr>
        <w:t xml:space="preserve"> av regionale kompetanseplaner.  </w:t>
      </w:r>
      <w:r w:rsidR="00A71E15" w:rsidRPr="0036550D">
        <w:rPr>
          <w:sz w:val="24"/>
          <w:szCs w:val="24"/>
        </w:rPr>
        <w:t>Dagens UH-lov pålegg institusjonane å samarbeida i regionale nettverk</w:t>
      </w:r>
      <w:r w:rsidR="00A71E15">
        <w:rPr>
          <w:rStyle w:val="Fotnotereferanse"/>
          <w:sz w:val="24"/>
          <w:szCs w:val="24"/>
        </w:rPr>
        <w:footnoteReference w:id="23"/>
      </w:r>
      <w:r w:rsidR="00A71E15" w:rsidRPr="0036550D">
        <w:rPr>
          <w:sz w:val="24"/>
          <w:szCs w:val="24"/>
        </w:rPr>
        <w:t>, lovverket vernar også mot eksterne pålegg og instruksar når det gjeld innhald i undervising og forsking</w:t>
      </w:r>
      <w:r w:rsidR="00A71E15">
        <w:rPr>
          <w:rStyle w:val="Fotnotereferanse"/>
          <w:sz w:val="24"/>
          <w:szCs w:val="24"/>
        </w:rPr>
        <w:footnoteReference w:id="24"/>
      </w:r>
      <w:r w:rsidR="00A71E15" w:rsidRPr="0036550D">
        <w:rPr>
          <w:sz w:val="24"/>
          <w:szCs w:val="24"/>
        </w:rPr>
        <w:t xml:space="preserve">. </w:t>
      </w:r>
      <w:r w:rsidR="0036550D" w:rsidRPr="0036550D">
        <w:rPr>
          <w:sz w:val="24"/>
          <w:szCs w:val="24"/>
        </w:rPr>
        <w:t>Regionale omgjevnader ser på inkludering i regionale nettverk som ein invitasjon til samstyring. Lova i dag er eit institusjonelt vern mot staten, pålegg og instruksar, ikkje mot nye og meir indirekte styringsformer forankra regionalt.</w:t>
      </w:r>
    </w:p>
    <w:p w14:paraId="2156C8D4" w14:textId="77777777" w:rsidR="00A71E15" w:rsidRDefault="00A71E15" w:rsidP="00001E09">
      <w:pPr>
        <w:rPr>
          <w:sz w:val="24"/>
          <w:szCs w:val="24"/>
        </w:rPr>
      </w:pPr>
    </w:p>
    <w:p w14:paraId="2AC9AEFB" w14:textId="77777777" w:rsidR="000E31AC" w:rsidRDefault="000E31AC" w:rsidP="00001E09">
      <w:pPr>
        <w:rPr>
          <w:sz w:val="24"/>
          <w:szCs w:val="24"/>
        </w:rPr>
      </w:pPr>
    </w:p>
    <w:p w14:paraId="70B1A70D" w14:textId="3F3B611C" w:rsidR="00493502" w:rsidRDefault="003E3056" w:rsidP="00493502">
      <w:pPr>
        <w:rPr>
          <w:sz w:val="24"/>
          <w:szCs w:val="24"/>
        </w:rPr>
      </w:pPr>
      <w:r w:rsidRPr="00001E09">
        <w:rPr>
          <w:sz w:val="24"/>
          <w:szCs w:val="24"/>
        </w:rPr>
        <w:t xml:space="preserve"> </w:t>
      </w:r>
    </w:p>
    <w:p w14:paraId="28BB76B9" w14:textId="77777777" w:rsidR="00493502" w:rsidRPr="003E3056" w:rsidRDefault="00493502" w:rsidP="00C234FB">
      <w:pPr>
        <w:rPr>
          <w:sz w:val="24"/>
          <w:szCs w:val="24"/>
        </w:rPr>
      </w:pPr>
    </w:p>
    <w:sectPr w:rsidR="00493502" w:rsidRPr="003E305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884FF" w14:textId="77777777" w:rsidR="006F431A" w:rsidRDefault="006F431A" w:rsidP="00481B68">
      <w:pPr>
        <w:spacing w:after="0" w:line="240" w:lineRule="auto"/>
      </w:pPr>
      <w:r>
        <w:separator/>
      </w:r>
    </w:p>
  </w:endnote>
  <w:endnote w:type="continuationSeparator" w:id="0">
    <w:p w14:paraId="036D6AD2" w14:textId="77777777" w:rsidR="006F431A" w:rsidRDefault="006F431A" w:rsidP="0048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90790"/>
      <w:docPartObj>
        <w:docPartGallery w:val="Page Numbers (Bottom of Page)"/>
        <w:docPartUnique/>
      </w:docPartObj>
    </w:sdtPr>
    <w:sdtEndPr/>
    <w:sdtContent>
      <w:p w14:paraId="2A98C578" w14:textId="752DC5F2" w:rsidR="006F431A" w:rsidRDefault="006F431A">
        <w:pPr>
          <w:pStyle w:val="Bunntekst"/>
        </w:pPr>
        <w:r>
          <w:fldChar w:fldCharType="begin"/>
        </w:r>
        <w:r>
          <w:instrText>PAGE   \* MERGEFORMAT</w:instrText>
        </w:r>
        <w:r>
          <w:fldChar w:fldCharType="separate"/>
        </w:r>
        <w:r w:rsidR="00413C06" w:rsidRPr="00413C06">
          <w:rPr>
            <w:noProof/>
            <w:lang w:val="nb-NO"/>
          </w:rPr>
          <w:t>2</w:t>
        </w:r>
        <w:r>
          <w:fldChar w:fldCharType="end"/>
        </w:r>
      </w:p>
    </w:sdtContent>
  </w:sdt>
  <w:p w14:paraId="1BF3325C" w14:textId="77777777" w:rsidR="006F431A" w:rsidRDefault="006F43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6955" w14:textId="77777777" w:rsidR="006F431A" w:rsidRDefault="006F431A" w:rsidP="00481B68">
      <w:pPr>
        <w:spacing w:after="0" w:line="240" w:lineRule="auto"/>
      </w:pPr>
      <w:r>
        <w:separator/>
      </w:r>
    </w:p>
  </w:footnote>
  <w:footnote w:type="continuationSeparator" w:id="0">
    <w:p w14:paraId="024D2A14" w14:textId="77777777" w:rsidR="006F431A" w:rsidRDefault="006F431A" w:rsidP="00481B68">
      <w:pPr>
        <w:spacing w:after="0" w:line="240" w:lineRule="auto"/>
      </w:pPr>
      <w:r>
        <w:continuationSeparator/>
      </w:r>
    </w:p>
  </w:footnote>
  <w:footnote w:id="1">
    <w:p w14:paraId="72389A59" w14:textId="77777777" w:rsidR="006F431A" w:rsidRPr="00327E2D" w:rsidRDefault="006F431A">
      <w:pPr>
        <w:pStyle w:val="Fotnotetekst"/>
        <w:rPr>
          <w:sz w:val="24"/>
          <w:szCs w:val="24"/>
          <w:lang w:val="nb-NO"/>
        </w:rPr>
      </w:pPr>
      <w:r>
        <w:rPr>
          <w:rStyle w:val="Fotnotereferanse"/>
        </w:rPr>
        <w:footnoteRef/>
      </w:r>
      <w:r w:rsidRPr="00FE7A55">
        <w:rPr>
          <w:lang w:val="nb-NO"/>
        </w:rPr>
        <w:t xml:space="preserve"> </w:t>
      </w:r>
      <w:r w:rsidRPr="00B45C97">
        <w:rPr>
          <w:lang w:val="nb-NO"/>
        </w:rPr>
        <w:t>Nicoline Frölich</w:t>
      </w:r>
      <w:bookmarkStart w:id="0" w:name="_GoBack"/>
      <w:bookmarkEnd w:id="0"/>
      <w:r w:rsidRPr="00B45C97">
        <w:rPr>
          <w:lang w:val="nb-NO"/>
        </w:rPr>
        <w:t>, Erica Waagene og Par Olaf Aamodt (2010), Gamle spillere – nye regler: Samspillet mellom etterspørsel og tilbud av høyere utdanning: Søkning til høyere utdanning og lærestedenes utdanningsprofil etter kvalitetsreformen, NIFU rapport 2010:43.</w:t>
      </w:r>
    </w:p>
  </w:footnote>
  <w:footnote w:id="2">
    <w:p w14:paraId="3DDB279C" w14:textId="514C5F05" w:rsidR="00B45C97" w:rsidRPr="009D1685" w:rsidRDefault="00B45C97" w:rsidP="009D1685">
      <w:pPr>
        <w:pStyle w:val="Fotnotetekst"/>
        <w:rPr>
          <w:lang w:val="nb-NO"/>
        </w:rPr>
      </w:pPr>
      <w:r>
        <w:rPr>
          <w:rStyle w:val="Fotnotereferanse"/>
        </w:rPr>
        <w:footnoteRef/>
      </w:r>
      <w:r w:rsidRPr="009D1685">
        <w:rPr>
          <w:lang w:val="nb-NO"/>
        </w:rPr>
        <w:t xml:space="preserve"> </w:t>
      </w:r>
      <w:hyperlink r:id="rId1" w:history="1">
        <w:r w:rsidR="009D1685" w:rsidRPr="009D1685">
          <w:rPr>
            <w:rStyle w:val="Hyperkobling"/>
            <w:lang w:val="nb-NO"/>
          </w:rPr>
          <w:t>https://jusleksikon.no/wiki/Norm</w:t>
        </w:r>
      </w:hyperlink>
      <w:r w:rsidR="009D1685" w:rsidRPr="009D1685">
        <w:rPr>
          <w:lang w:val="nb-NO"/>
        </w:rPr>
        <w:t xml:space="preserve">. </w:t>
      </w:r>
      <w:r w:rsidR="009D1685" w:rsidRPr="009D1685">
        <w:rPr>
          <w:lang w:val="nb-NO"/>
        </w:rPr>
        <w:t xml:space="preserve">Normative </w:t>
      </w:r>
      <w:r w:rsidR="009D1685">
        <w:rPr>
          <w:lang w:val="nb-NO"/>
        </w:rPr>
        <w:t xml:space="preserve">lover </w:t>
      </w:r>
      <w:r w:rsidR="009D1685" w:rsidRPr="009D1685">
        <w:rPr>
          <w:lang w:val="nb-NO"/>
        </w:rPr>
        <w:t xml:space="preserve">utsagn har </w:t>
      </w:r>
      <w:r w:rsidR="009D1685">
        <w:rPr>
          <w:lang w:val="nb-NO"/>
        </w:rPr>
        <w:t xml:space="preserve">derimot </w:t>
      </w:r>
      <w:r w:rsidR="009D1685" w:rsidRPr="009D1685">
        <w:rPr>
          <w:lang w:val="nb-NO"/>
        </w:rPr>
        <w:t>som mål å få virkelighet</w:t>
      </w:r>
      <w:r w:rsidR="009D1685">
        <w:rPr>
          <w:lang w:val="nb-NO"/>
        </w:rPr>
        <w:t>en til å føye seg etter lova.</w:t>
      </w:r>
    </w:p>
  </w:footnote>
  <w:footnote w:id="3">
    <w:p w14:paraId="53FA6196" w14:textId="77777777" w:rsidR="006F431A" w:rsidRPr="00D2666C" w:rsidRDefault="006F431A" w:rsidP="009F3A08">
      <w:pPr>
        <w:pStyle w:val="Fotnotetekst"/>
      </w:pPr>
      <w:r>
        <w:rPr>
          <w:rStyle w:val="Fotnotereferanse"/>
        </w:rPr>
        <w:footnoteRef/>
      </w:r>
      <w:r>
        <w:t xml:space="preserve"> UH-lova op. cit. Side 20.</w:t>
      </w:r>
    </w:p>
  </w:footnote>
  <w:footnote w:id="4">
    <w:p w14:paraId="477E8E8F" w14:textId="77777777" w:rsidR="006F431A" w:rsidRPr="00D2666C" w:rsidRDefault="006F431A" w:rsidP="009F3A08">
      <w:pPr>
        <w:pStyle w:val="Fotnotetekst"/>
      </w:pPr>
      <w:r>
        <w:rPr>
          <w:rStyle w:val="Fotnotereferanse"/>
        </w:rPr>
        <w:footnoteRef/>
      </w:r>
      <w:r>
        <w:t xml:space="preserve"> </w:t>
      </w:r>
      <w:r w:rsidRPr="00D2666C">
        <w:t>UH-lova op.cit. side 23</w:t>
      </w:r>
      <w:r>
        <w:t>.</w:t>
      </w:r>
    </w:p>
  </w:footnote>
  <w:footnote w:id="5">
    <w:p w14:paraId="245AD3ED" w14:textId="77777777" w:rsidR="00467396" w:rsidRPr="00467396" w:rsidRDefault="00467396" w:rsidP="00467396">
      <w:pPr>
        <w:pStyle w:val="Fotnotetekst"/>
      </w:pPr>
      <w:r>
        <w:rPr>
          <w:rStyle w:val="Fotnotereferanse"/>
        </w:rPr>
        <w:footnoteRef/>
      </w:r>
      <w:r w:rsidRPr="00467396">
        <w:t xml:space="preserve"> Stortingsmelding 22 (2015-2016):12.</w:t>
      </w:r>
    </w:p>
  </w:footnote>
  <w:footnote w:id="6">
    <w:p w14:paraId="7123159E" w14:textId="77777777" w:rsidR="006F431A" w:rsidRPr="00476233" w:rsidRDefault="006F431A">
      <w:pPr>
        <w:pStyle w:val="Fotnotetekst"/>
      </w:pPr>
      <w:r>
        <w:rPr>
          <w:rStyle w:val="Fotnotereferanse"/>
        </w:rPr>
        <w:footnoteRef/>
      </w:r>
      <w:r>
        <w:t xml:space="preserve"> </w:t>
      </w:r>
      <w:r w:rsidRPr="00476233">
        <w:t xml:space="preserve">Bernt </w:t>
      </w:r>
      <w:r>
        <w:t xml:space="preserve">over </w:t>
      </w:r>
      <w:r w:rsidRPr="00476233">
        <w:t xml:space="preserve">side 17 går gjennom </w:t>
      </w:r>
      <w:r>
        <w:t xml:space="preserve">prosessen med å </w:t>
      </w:r>
      <w:r w:rsidRPr="00476233">
        <w:t>in</w:t>
      </w:r>
      <w:r>
        <w:t>k</w:t>
      </w:r>
      <w:r w:rsidRPr="00476233">
        <w:t>luder</w:t>
      </w:r>
      <w:r>
        <w:t>a</w:t>
      </w:r>
      <w:r w:rsidRPr="00476233">
        <w:t xml:space="preserve"> dei statlege høgskolane i </w:t>
      </w:r>
      <w:r w:rsidRPr="00EC240B">
        <w:rPr>
          <w:i/>
        </w:rPr>
        <w:t>ei</w:t>
      </w:r>
      <w:r w:rsidRPr="00476233">
        <w:t xml:space="preserve"> UH-lov frå 1995</w:t>
      </w:r>
      <w:r>
        <w:t>.</w:t>
      </w:r>
      <w:r w:rsidRPr="00476233">
        <w:t xml:space="preserve"> </w:t>
      </w:r>
    </w:p>
  </w:footnote>
  <w:footnote w:id="7">
    <w:p w14:paraId="243C9512" w14:textId="77777777" w:rsidR="0062321C" w:rsidRPr="00D44781" w:rsidRDefault="0062321C" w:rsidP="0062321C">
      <w:pPr>
        <w:pStyle w:val="Fotnotetekst"/>
        <w:rPr>
          <w:lang w:val="en-GB"/>
        </w:rPr>
      </w:pPr>
      <w:r>
        <w:rPr>
          <w:rStyle w:val="Fotnotereferanse"/>
        </w:rPr>
        <w:footnoteRef/>
      </w:r>
      <w:r w:rsidRPr="00D44781">
        <w:rPr>
          <w:lang w:val="en-GB"/>
        </w:rPr>
        <w:t xml:space="preserve"> T.d. Arizona State University: The 21 st Century University Activation Initiative. </w:t>
      </w:r>
    </w:p>
  </w:footnote>
  <w:footnote w:id="8">
    <w:p w14:paraId="1C409A04" w14:textId="697744EF" w:rsidR="006F431A" w:rsidRPr="0096104B" w:rsidRDefault="006F431A" w:rsidP="00EA5D94">
      <w:pPr>
        <w:pStyle w:val="Fotnotetekst"/>
      </w:pPr>
      <w:r>
        <w:rPr>
          <w:rStyle w:val="Fotnotereferanse"/>
        </w:rPr>
        <w:footnoteRef/>
      </w:r>
      <w:r>
        <w:t xml:space="preserve"> </w:t>
      </w:r>
      <w:r w:rsidRPr="0096104B">
        <w:t xml:space="preserve">Holdenutvalet, skal skriva tre offentlege utgreiingar om kompetansebehov, også regionalt. </w:t>
      </w:r>
      <w:r>
        <w:t>Siste rapp</w:t>
      </w:r>
      <w:r w:rsidR="00647C87">
        <w:t>ort, og den andre utvalet, er NO</w:t>
      </w:r>
      <w:r>
        <w:t>U 2019:2. Mi drøftin</w:t>
      </w:r>
      <w:r w:rsidR="00647C87">
        <w:t>g er basert på denne rapporten.</w:t>
      </w:r>
    </w:p>
  </w:footnote>
  <w:footnote w:id="9">
    <w:p w14:paraId="7D6FBB53" w14:textId="77777777" w:rsidR="006F431A" w:rsidRPr="00EA5D94" w:rsidRDefault="006F431A">
      <w:pPr>
        <w:pStyle w:val="Fotnotetekst"/>
      </w:pPr>
      <w:r>
        <w:rPr>
          <w:rStyle w:val="Fotnotereferanse"/>
        </w:rPr>
        <w:footnoteRef/>
      </w:r>
      <w:r w:rsidRPr="00EA5D94">
        <w:t xml:space="preserve"> Figurane 2.4, 2,5 og 2,6 på sidene 29, 30 og 32 i Frölich N. (et. al) 2010 over.</w:t>
      </w:r>
    </w:p>
  </w:footnote>
  <w:footnote w:id="10">
    <w:p w14:paraId="42726799" w14:textId="77777777" w:rsidR="006F431A" w:rsidRPr="000E4462" w:rsidRDefault="006F431A">
      <w:pPr>
        <w:pStyle w:val="Fotnotetekst"/>
      </w:pPr>
      <w:r>
        <w:rPr>
          <w:rStyle w:val="Fotnotereferanse"/>
        </w:rPr>
        <w:footnoteRef/>
      </w:r>
      <w:r w:rsidRPr="000E4462">
        <w:t xml:space="preserve"> Tabell 2.4 side 28 i Frölich N. (et. al) 2010 over.</w:t>
      </w:r>
    </w:p>
  </w:footnote>
  <w:footnote w:id="11">
    <w:p w14:paraId="39FD2995" w14:textId="77777777" w:rsidR="006F431A" w:rsidRPr="00652E7C" w:rsidRDefault="006F431A">
      <w:pPr>
        <w:pStyle w:val="Fotnotetekst"/>
      </w:pPr>
      <w:r>
        <w:rPr>
          <w:rStyle w:val="Fotnotereferanse"/>
        </w:rPr>
        <w:footnoteRef/>
      </w:r>
      <w:r>
        <w:t xml:space="preserve">  </w:t>
      </w:r>
      <w:r w:rsidRPr="00652E7C">
        <w:t>NIFU i 2010 analyserte søkinga og ikkje oppmøtet</w:t>
      </w:r>
      <w:r>
        <w:t>.</w:t>
      </w:r>
    </w:p>
  </w:footnote>
  <w:footnote w:id="12">
    <w:p w14:paraId="4030FA2B" w14:textId="6AC16CB9" w:rsidR="006F431A" w:rsidRPr="00D10319" w:rsidRDefault="006F431A">
      <w:pPr>
        <w:pStyle w:val="Fotnotetekst"/>
      </w:pPr>
      <w:r>
        <w:rPr>
          <w:rStyle w:val="Fotnotereferanse"/>
        </w:rPr>
        <w:footnoteRef/>
      </w:r>
      <w:r w:rsidR="00B45C97">
        <w:t xml:space="preserve"> T</w:t>
      </w:r>
      <w:r w:rsidR="00647C87">
        <w:t>al</w:t>
      </w:r>
      <w:r>
        <w:t xml:space="preserve"> for Høgskolen i Oslo og Akershus for 2016.</w:t>
      </w:r>
    </w:p>
  </w:footnote>
  <w:footnote w:id="13">
    <w:p w14:paraId="31FA1093" w14:textId="77777777" w:rsidR="006F431A" w:rsidRPr="00B24FE0" w:rsidRDefault="006F431A">
      <w:pPr>
        <w:pStyle w:val="Fotnotetekst"/>
      </w:pPr>
      <w:r>
        <w:rPr>
          <w:rStyle w:val="Fotnotereferanse"/>
        </w:rPr>
        <w:footnoteRef/>
      </w:r>
      <w:r>
        <w:t xml:space="preserve"> Dette er basert på DBH registreringa av studentar, kopla til FS data om heimstad, men ikkje lagt ved her pga at dei blir svært detaljerte.</w:t>
      </w:r>
    </w:p>
  </w:footnote>
  <w:footnote w:id="14">
    <w:p w14:paraId="615A9FC8" w14:textId="77777777" w:rsidR="006F431A" w:rsidRPr="00583AEE" w:rsidRDefault="006F431A">
      <w:pPr>
        <w:pStyle w:val="Fotnotetekst"/>
      </w:pPr>
      <w:r>
        <w:rPr>
          <w:rStyle w:val="Fotnotereferanse"/>
        </w:rPr>
        <w:footnoteRef/>
      </w:r>
      <w:r>
        <w:t xml:space="preserve"> Inkluderer ikkje kandidatar som går til vidare studium enten ved UiT eller ved andre institusjonar (ca. 300) eller som er sjuke, arbeidssøkjar eller anna (ca. 100).</w:t>
      </w:r>
    </w:p>
  </w:footnote>
  <w:footnote w:id="15">
    <w:p w14:paraId="2A6BF90B" w14:textId="371F7ECB" w:rsidR="00B45C97" w:rsidRPr="005F7007" w:rsidRDefault="006F431A" w:rsidP="00B45C97">
      <w:pPr>
        <w:autoSpaceDE w:val="0"/>
        <w:autoSpaceDN w:val="0"/>
        <w:adjustRightInd w:val="0"/>
        <w:spacing w:after="0" w:line="240" w:lineRule="auto"/>
        <w:rPr>
          <w:rFonts w:cstheme="minorHAnsi"/>
          <w:color w:val="000000"/>
          <w:sz w:val="20"/>
          <w:szCs w:val="20"/>
        </w:rPr>
      </w:pPr>
      <w:r>
        <w:rPr>
          <w:rStyle w:val="Fotnotereferanse"/>
        </w:rPr>
        <w:footnoteRef/>
      </w:r>
      <w:r w:rsidRPr="005F7007">
        <w:t xml:space="preserve"> </w:t>
      </w:r>
      <w:r w:rsidR="00B45C97" w:rsidRPr="005F7007">
        <w:rPr>
          <w:rFonts w:cstheme="minorHAnsi"/>
          <w:color w:val="000000"/>
          <w:sz w:val="20"/>
          <w:szCs w:val="20"/>
        </w:rPr>
        <w:t>Statistisk sentralbyrå, rapport 6/2013 ((ISBN 978-82-537-8590-5)</w:t>
      </w:r>
    </w:p>
    <w:p w14:paraId="6CB0A753" w14:textId="0B3DEFBE" w:rsidR="006F431A" w:rsidRPr="00E33F8F" w:rsidRDefault="00B45C97" w:rsidP="00B45C97">
      <w:pPr>
        <w:pStyle w:val="Fotnotetekst"/>
        <w:rPr>
          <w:color w:val="FF0000"/>
        </w:rPr>
      </w:pPr>
      <w:r w:rsidRPr="005F7007">
        <w:rPr>
          <w:rFonts w:cstheme="minorHAnsi"/>
          <w:color w:val="000000"/>
        </w:rPr>
        <w:t>(</w:t>
      </w:r>
      <w:r w:rsidRPr="005F7007">
        <w:rPr>
          <w:rFonts w:cstheme="minorHAnsi"/>
          <w:color w:val="0B4CB5"/>
        </w:rPr>
        <w:t>http://bit.ly/2CYHDY9</w:t>
      </w:r>
      <w:r w:rsidRPr="005F7007">
        <w:rPr>
          <w:rFonts w:cstheme="minorHAnsi"/>
          <w:color w:val="000000"/>
        </w:rPr>
        <w:t>)</w:t>
      </w:r>
    </w:p>
  </w:footnote>
  <w:footnote w:id="16">
    <w:p w14:paraId="270AEF57" w14:textId="7FBD2146" w:rsidR="006F431A" w:rsidRPr="00A13F4D" w:rsidRDefault="006F431A">
      <w:pPr>
        <w:pStyle w:val="Fotnotetekst"/>
      </w:pPr>
      <w:r>
        <w:rPr>
          <w:rStyle w:val="Fotnotereferanse"/>
        </w:rPr>
        <w:footnoteRef/>
      </w:r>
      <w:r>
        <w:t xml:space="preserve"> </w:t>
      </w:r>
      <w:r w:rsidRPr="00A13F4D">
        <w:t>NIFU-rapport 27/2</w:t>
      </w:r>
      <w:r>
        <w:t>013 «bedriftskultur for læring».</w:t>
      </w:r>
    </w:p>
  </w:footnote>
  <w:footnote w:id="17">
    <w:p w14:paraId="698CAE33" w14:textId="77777777" w:rsidR="006F431A" w:rsidRPr="00BF58D2" w:rsidRDefault="006F431A">
      <w:pPr>
        <w:pStyle w:val="Fotnotetekst"/>
      </w:pPr>
      <w:r>
        <w:rPr>
          <w:rStyle w:val="Fotnotereferanse"/>
        </w:rPr>
        <w:footnoteRef/>
      </w:r>
      <w:r>
        <w:t xml:space="preserve"> </w:t>
      </w:r>
      <w:r w:rsidRPr="00BF58D2">
        <w:t>NHO «Nord i sør» i Oslo i januar 2018.</w:t>
      </w:r>
    </w:p>
  </w:footnote>
  <w:footnote w:id="18">
    <w:p w14:paraId="5503D350" w14:textId="64093FA5" w:rsidR="006F431A" w:rsidRPr="000E1B2E" w:rsidRDefault="006F431A">
      <w:pPr>
        <w:pStyle w:val="Fotnotetekst"/>
      </w:pPr>
      <w:r>
        <w:rPr>
          <w:rStyle w:val="Fotnotereferanse"/>
        </w:rPr>
        <w:footnoteRef/>
      </w:r>
      <w:r>
        <w:t xml:space="preserve"> Eg g</w:t>
      </w:r>
      <w:r w:rsidRPr="000E1B2E">
        <w:t>år ikkje inn på årsakene her, men veksten i privat sektor skuldast vekst i mange produksjonsnæringar som i oppdrett</w:t>
      </w:r>
      <w:r>
        <w:t>,</w:t>
      </w:r>
      <w:r w:rsidRPr="000E1B2E">
        <w:t xml:space="preserve"> samt i at noen delar av offentleg sektor i kommunane privatiseres. </w:t>
      </w:r>
      <w:r>
        <w:t>Nedgangen i offentleg sektor skuldast det siste, samt demografisk nedgang i særleg yngre delar av befolkninga i mange distriktskommunar.</w:t>
      </w:r>
    </w:p>
  </w:footnote>
  <w:footnote w:id="19">
    <w:p w14:paraId="0ECE7669" w14:textId="77777777" w:rsidR="006F431A" w:rsidRPr="00B14662" w:rsidRDefault="006F431A">
      <w:pPr>
        <w:pStyle w:val="Fotnotetekst"/>
      </w:pPr>
      <w:r>
        <w:rPr>
          <w:rStyle w:val="Fotnotereferanse"/>
        </w:rPr>
        <w:footnoteRef/>
      </w:r>
      <w:r>
        <w:t xml:space="preserve"> I regjeringsbrev för Uppsala universitet heiter det at «Uppsala universitet ska bedriva verksamhet på Campus Gotland. Verksamheten ska erbjuda en akademisk miljö för fullvärdig utbildning och forsking».</w:t>
      </w:r>
    </w:p>
  </w:footnote>
  <w:footnote w:id="20">
    <w:p w14:paraId="21A16586" w14:textId="77777777" w:rsidR="006F431A" w:rsidRPr="00B14662" w:rsidRDefault="006F431A">
      <w:pPr>
        <w:pStyle w:val="Fotnotetekst"/>
      </w:pPr>
      <w:r>
        <w:rPr>
          <w:rStyle w:val="Fotnotereferanse"/>
        </w:rPr>
        <w:footnoteRef/>
      </w:r>
      <w:r>
        <w:t xml:space="preserve"> Samtale med rektor ved SDU Henrik Dam.</w:t>
      </w:r>
    </w:p>
  </w:footnote>
  <w:footnote w:id="21">
    <w:p w14:paraId="47C0952E" w14:textId="39250F27" w:rsidR="006F431A" w:rsidRPr="00452AC1" w:rsidRDefault="006F431A">
      <w:pPr>
        <w:pStyle w:val="Fotnotetekst"/>
      </w:pPr>
      <w:r>
        <w:rPr>
          <w:rStyle w:val="Fotnotereferanse"/>
        </w:rPr>
        <w:footnoteRef/>
      </w:r>
      <w:r w:rsidR="00C37D1B">
        <w:t xml:space="preserve"> </w:t>
      </w:r>
      <w:r>
        <w:t>ERDF er «Det europeiske fond for regional utvikling – eller strukturpolitikken).</w:t>
      </w:r>
    </w:p>
  </w:footnote>
  <w:footnote w:id="22">
    <w:p w14:paraId="0D1CE864" w14:textId="77777777" w:rsidR="006F431A" w:rsidRPr="003D6C34" w:rsidRDefault="006F431A" w:rsidP="003D6C34">
      <w:pPr>
        <w:pStyle w:val="Default"/>
        <w:rPr>
          <w:color w:val="auto"/>
          <w:lang w:val="en-GB"/>
        </w:rPr>
      </w:pPr>
      <w:r>
        <w:rPr>
          <w:rStyle w:val="Fotnotereferanse"/>
        </w:rPr>
        <w:footnoteRef/>
      </w:r>
      <w:r w:rsidRPr="003D6C34">
        <w:rPr>
          <w:lang w:val="en-GB"/>
        </w:rPr>
        <w:t xml:space="preserve"> </w:t>
      </w:r>
      <w:r w:rsidRPr="003D6C34">
        <w:rPr>
          <w:rFonts w:asciiTheme="minorHAnsi" w:hAnsiTheme="minorHAnsi" w:cstheme="minorHAnsi"/>
          <w:color w:val="auto"/>
          <w:sz w:val="20"/>
          <w:szCs w:val="20"/>
          <w:lang w:val="en-GB"/>
        </w:rPr>
        <w:t>OECD territorial review of the NSPA: Implications for Norway, High North Dialogue, Bodø 26 april 2017.</w:t>
      </w:r>
    </w:p>
  </w:footnote>
  <w:footnote w:id="23">
    <w:p w14:paraId="0AE00E42" w14:textId="77777777" w:rsidR="00A71E15" w:rsidRPr="006F431A" w:rsidRDefault="00A71E15" w:rsidP="00A71E15">
      <w:pPr>
        <w:pStyle w:val="Fotnotetekst"/>
        <w:rPr>
          <w:lang w:val="en-GB"/>
        </w:rPr>
      </w:pPr>
      <w:r>
        <w:rPr>
          <w:rStyle w:val="Fotnotereferanse"/>
        </w:rPr>
        <w:footnoteRef/>
      </w:r>
      <w:r w:rsidRPr="006F431A">
        <w:rPr>
          <w:lang w:val="en-GB"/>
        </w:rPr>
        <w:t xml:space="preserve"> §1-3-h.</w:t>
      </w:r>
    </w:p>
  </w:footnote>
  <w:footnote w:id="24">
    <w:p w14:paraId="508FBE03" w14:textId="77777777" w:rsidR="00A71E15" w:rsidRPr="006F431A" w:rsidRDefault="00A71E15" w:rsidP="00A71E15">
      <w:pPr>
        <w:pStyle w:val="Fotnotetekst"/>
        <w:rPr>
          <w:lang w:val="en-GB"/>
        </w:rPr>
      </w:pPr>
      <w:r>
        <w:rPr>
          <w:rStyle w:val="Fotnotereferanse"/>
        </w:rPr>
        <w:footnoteRef/>
      </w:r>
      <w:r w:rsidRPr="006F431A">
        <w:rPr>
          <w:lang w:val="en-GB"/>
        </w:rPr>
        <w:t xml:space="preserve"> §1-5-1.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5E12"/>
    <w:multiLevelType w:val="hybridMultilevel"/>
    <w:tmpl w:val="316E9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250823"/>
    <w:multiLevelType w:val="hybridMultilevel"/>
    <w:tmpl w:val="0AE2F80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E2E717F"/>
    <w:multiLevelType w:val="hybridMultilevel"/>
    <w:tmpl w:val="EFD8C820"/>
    <w:lvl w:ilvl="0" w:tplc="D3B8C74A">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7FF0D52"/>
    <w:multiLevelType w:val="hybridMultilevel"/>
    <w:tmpl w:val="5686B0A6"/>
    <w:lvl w:ilvl="0" w:tplc="767A84F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83125B6"/>
    <w:multiLevelType w:val="hybridMultilevel"/>
    <w:tmpl w:val="F0E8950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8013420"/>
    <w:multiLevelType w:val="hybridMultilevel"/>
    <w:tmpl w:val="DA269DFA"/>
    <w:lvl w:ilvl="0" w:tplc="11322A22">
      <w:start w:val="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733232"/>
    <w:multiLevelType w:val="hybridMultilevel"/>
    <w:tmpl w:val="D99E1EA2"/>
    <w:lvl w:ilvl="0" w:tplc="9622117A">
      <w:start w:val="1"/>
      <w:numFmt w:val="bullet"/>
      <w:lvlText w:val="•"/>
      <w:lvlJc w:val="left"/>
      <w:pPr>
        <w:tabs>
          <w:tab w:val="num" w:pos="720"/>
        </w:tabs>
        <w:ind w:left="720" w:hanging="360"/>
      </w:pPr>
      <w:rPr>
        <w:rFonts w:ascii="Arial" w:hAnsi="Arial" w:hint="default"/>
      </w:rPr>
    </w:lvl>
    <w:lvl w:ilvl="1" w:tplc="D6BEE774" w:tentative="1">
      <w:start w:val="1"/>
      <w:numFmt w:val="bullet"/>
      <w:lvlText w:val="•"/>
      <w:lvlJc w:val="left"/>
      <w:pPr>
        <w:tabs>
          <w:tab w:val="num" w:pos="1440"/>
        </w:tabs>
        <w:ind w:left="1440" w:hanging="360"/>
      </w:pPr>
      <w:rPr>
        <w:rFonts w:ascii="Arial" w:hAnsi="Arial" w:hint="default"/>
      </w:rPr>
    </w:lvl>
    <w:lvl w:ilvl="2" w:tplc="F3C68E6C" w:tentative="1">
      <w:start w:val="1"/>
      <w:numFmt w:val="bullet"/>
      <w:lvlText w:val="•"/>
      <w:lvlJc w:val="left"/>
      <w:pPr>
        <w:tabs>
          <w:tab w:val="num" w:pos="2160"/>
        </w:tabs>
        <w:ind w:left="2160" w:hanging="360"/>
      </w:pPr>
      <w:rPr>
        <w:rFonts w:ascii="Arial" w:hAnsi="Arial" w:hint="default"/>
      </w:rPr>
    </w:lvl>
    <w:lvl w:ilvl="3" w:tplc="4F6445B6" w:tentative="1">
      <w:start w:val="1"/>
      <w:numFmt w:val="bullet"/>
      <w:lvlText w:val="•"/>
      <w:lvlJc w:val="left"/>
      <w:pPr>
        <w:tabs>
          <w:tab w:val="num" w:pos="2880"/>
        </w:tabs>
        <w:ind w:left="2880" w:hanging="360"/>
      </w:pPr>
      <w:rPr>
        <w:rFonts w:ascii="Arial" w:hAnsi="Arial" w:hint="default"/>
      </w:rPr>
    </w:lvl>
    <w:lvl w:ilvl="4" w:tplc="B0C29A2A" w:tentative="1">
      <w:start w:val="1"/>
      <w:numFmt w:val="bullet"/>
      <w:lvlText w:val="•"/>
      <w:lvlJc w:val="left"/>
      <w:pPr>
        <w:tabs>
          <w:tab w:val="num" w:pos="3600"/>
        </w:tabs>
        <w:ind w:left="3600" w:hanging="360"/>
      </w:pPr>
      <w:rPr>
        <w:rFonts w:ascii="Arial" w:hAnsi="Arial" w:hint="default"/>
      </w:rPr>
    </w:lvl>
    <w:lvl w:ilvl="5" w:tplc="A2869956" w:tentative="1">
      <w:start w:val="1"/>
      <w:numFmt w:val="bullet"/>
      <w:lvlText w:val="•"/>
      <w:lvlJc w:val="left"/>
      <w:pPr>
        <w:tabs>
          <w:tab w:val="num" w:pos="4320"/>
        </w:tabs>
        <w:ind w:left="4320" w:hanging="360"/>
      </w:pPr>
      <w:rPr>
        <w:rFonts w:ascii="Arial" w:hAnsi="Arial" w:hint="default"/>
      </w:rPr>
    </w:lvl>
    <w:lvl w:ilvl="6" w:tplc="E0C0CD5E" w:tentative="1">
      <w:start w:val="1"/>
      <w:numFmt w:val="bullet"/>
      <w:lvlText w:val="•"/>
      <w:lvlJc w:val="left"/>
      <w:pPr>
        <w:tabs>
          <w:tab w:val="num" w:pos="5040"/>
        </w:tabs>
        <w:ind w:left="5040" w:hanging="360"/>
      </w:pPr>
      <w:rPr>
        <w:rFonts w:ascii="Arial" w:hAnsi="Arial" w:hint="default"/>
      </w:rPr>
    </w:lvl>
    <w:lvl w:ilvl="7" w:tplc="20583DD2" w:tentative="1">
      <w:start w:val="1"/>
      <w:numFmt w:val="bullet"/>
      <w:lvlText w:val="•"/>
      <w:lvlJc w:val="left"/>
      <w:pPr>
        <w:tabs>
          <w:tab w:val="num" w:pos="5760"/>
        </w:tabs>
        <w:ind w:left="5760" w:hanging="360"/>
      </w:pPr>
      <w:rPr>
        <w:rFonts w:ascii="Arial" w:hAnsi="Arial" w:hint="default"/>
      </w:rPr>
    </w:lvl>
    <w:lvl w:ilvl="8" w:tplc="EAD204A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E0"/>
    <w:rsid w:val="0000131D"/>
    <w:rsid w:val="00001E09"/>
    <w:rsid w:val="00043EF4"/>
    <w:rsid w:val="00053B6B"/>
    <w:rsid w:val="00054BB1"/>
    <w:rsid w:val="00065057"/>
    <w:rsid w:val="00081255"/>
    <w:rsid w:val="0008129A"/>
    <w:rsid w:val="00091835"/>
    <w:rsid w:val="000D53D5"/>
    <w:rsid w:val="000E1B2E"/>
    <w:rsid w:val="000E31AC"/>
    <w:rsid w:val="000E36DF"/>
    <w:rsid w:val="000E4462"/>
    <w:rsid w:val="00111BC5"/>
    <w:rsid w:val="00114F6B"/>
    <w:rsid w:val="001229E9"/>
    <w:rsid w:val="00122A57"/>
    <w:rsid w:val="00124EFE"/>
    <w:rsid w:val="00155B19"/>
    <w:rsid w:val="001612E7"/>
    <w:rsid w:val="00164FC0"/>
    <w:rsid w:val="001712F6"/>
    <w:rsid w:val="001729D2"/>
    <w:rsid w:val="0018191D"/>
    <w:rsid w:val="001B06AB"/>
    <w:rsid w:val="001C1ED7"/>
    <w:rsid w:val="001C5138"/>
    <w:rsid w:val="001E1EA3"/>
    <w:rsid w:val="00212FB0"/>
    <w:rsid w:val="002275AA"/>
    <w:rsid w:val="002350B1"/>
    <w:rsid w:val="00251C0C"/>
    <w:rsid w:val="002740D1"/>
    <w:rsid w:val="00292D9A"/>
    <w:rsid w:val="002937B3"/>
    <w:rsid w:val="002B243A"/>
    <w:rsid w:val="002C4518"/>
    <w:rsid w:val="002C61ED"/>
    <w:rsid w:val="002E7DE7"/>
    <w:rsid w:val="002F3B1D"/>
    <w:rsid w:val="003005B4"/>
    <w:rsid w:val="0030160F"/>
    <w:rsid w:val="0031640E"/>
    <w:rsid w:val="00327E2D"/>
    <w:rsid w:val="003314E8"/>
    <w:rsid w:val="00356DC6"/>
    <w:rsid w:val="00361948"/>
    <w:rsid w:val="0036550D"/>
    <w:rsid w:val="003920EC"/>
    <w:rsid w:val="00394894"/>
    <w:rsid w:val="00394BF5"/>
    <w:rsid w:val="0039791E"/>
    <w:rsid w:val="003A530A"/>
    <w:rsid w:val="003C00ED"/>
    <w:rsid w:val="003D12F5"/>
    <w:rsid w:val="003D6C34"/>
    <w:rsid w:val="003E3056"/>
    <w:rsid w:val="00413C06"/>
    <w:rsid w:val="004206D5"/>
    <w:rsid w:val="00437560"/>
    <w:rsid w:val="00451305"/>
    <w:rsid w:val="00452AC1"/>
    <w:rsid w:val="004600CE"/>
    <w:rsid w:val="00462D18"/>
    <w:rsid w:val="00467396"/>
    <w:rsid w:val="00475FD8"/>
    <w:rsid w:val="00476233"/>
    <w:rsid w:val="00481B68"/>
    <w:rsid w:val="004841AB"/>
    <w:rsid w:val="00493502"/>
    <w:rsid w:val="004C31E3"/>
    <w:rsid w:val="004E1DD6"/>
    <w:rsid w:val="004F381B"/>
    <w:rsid w:val="00530904"/>
    <w:rsid w:val="00536F43"/>
    <w:rsid w:val="00541BDD"/>
    <w:rsid w:val="00583AEE"/>
    <w:rsid w:val="00594F05"/>
    <w:rsid w:val="005B3DDB"/>
    <w:rsid w:val="005B4591"/>
    <w:rsid w:val="005F7007"/>
    <w:rsid w:val="00607796"/>
    <w:rsid w:val="00612D71"/>
    <w:rsid w:val="0062321C"/>
    <w:rsid w:val="00630807"/>
    <w:rsid w:val="00642114"/>
    <w:rsid w:val="00647C87"/>
    <w:rsid w:val="00652E7C"/>
    <w:rsid w:val="00691950"/>
    <w:rsid w:val="00693928"/>
    <w:rsid w:val="006B5598"/>
    <w:rsid w:val="006D7E66"/>
    <w:rsid w:val="006F2463"/>
    <w:rsid w:val="006F431A"/>
    <w:rsid w:val="007053A2"/>
    <w:rsid w:val="007314FC"/>
    <w:rsid w:val="00750972"/>
    <w:rsid w:val="00754886"/>
    <w:rsid w:val="00765269"/>
    <w:rsid w:val="00771515"/>
    <w:rsid w:val="007B3F2D"/>
    <w:rsid w:val="007C01AB"/>
    <w:rsid w:val="007C6072"/>
    <w:rsid w:val="007C6DE3"/>
    <w:rsid w:val="007F166F"/>
    <w:rsid w:val="00802983"/>
    <w:rsid w:val="00805741"/>
    <w:rsid w:val="008251C8"/>
    <w:rsid w:val="00845B17"/>
    <w:rsid w:val="008660C3"/>
    <w:rsid w:val="00871CE2"/>
    <w:rsid w:val="0087462A"/>
    <w:rsid w:val="00881BDC"/>
    <w:rsid w:val="008920CB"/>
    <w:rsid w:val="008B30E6"/>
    <w:rsid w:val="008B658D"/>
    <w:rsid w:val="008B71C0"/>
    <w:rsid w:val="008B7AE0"/>
    <w:rsid w:val="008F0543"/>
    <w:rsid w:val="00912895"/>
    <w:rsid w:val="00912E95"/>
    <w:rsid w:val="00934C89"/>
    <w:rsid w:val="0096104B"/>
    <w:rsid w:val="00997F89"/>
    <w:rsid w:val="009B1ADD"/>
    <w:rsid w:val="009C3D87"/>
    <w:rsid w:val="009C51F0"/>
    <w:rsid w:val="009D1685"/>
    <w:rsid w:val="009E0937"/>
    <w:rsid w:val="009F3A08"/>
    <w:rsid w:val="00A1086B"/>
    <w:rsid w:val="00A13F4D"/>
    <w:rsid w:val="00A17941"/>
    <w:rsid w:val="00A22A50"/>
    <w:rsid w:val="00A26309"/>
    <w:rsid w:val="00A33611"/>
    <w:rsid w:val="00A42B4B"/>
    <w:rsid w:val="00A46222"/>
    <w:rsid w:val="00A5445B"/>
    <w:rsid w:val="00A71E15"/>
    <w:rsid w:val="00A96E3A"/>
    <w:rsid w:val="00AC19CA"/>
    <w:rsid w:val="00AE08EF"/>
    <w:rsid w:val="00AE3083"/>
    <w:rsid w:val="00B00C3E"/>
    <w:rsid w:val="00B04A25"/>
    <w:rsid w:val="00B074C9"/>
    <w:rsid w:val="00B107D4"/>
    <w:rsid w:val="00B14662"/>
    <w:rsid w:val="00B24FE0"/>
    <w:rsid w:val="00B3021E"/>
    <w:rsid w:val="00B45C97"/>
    <w:rsid w:val="00B5233F"/>
    <w:rsid w:val="00B707B7"/>
    <w:rsid w:val="00B7094B"/>
    <w:rsid w:val="00B842FE"/>
    <w:rsid w:val="00BA185F"/>
    <w:rsid w:val="00BB2E39"/>
    <w:rsid w:val="00BB44A5"/>
    <w:rsid w:val="00BD1DED"/>
    <w:rsid w:val="00BD4C46"/>
    <w:rsid w:val="00BE249E"/>
    <w:rsid w:val="00BF58D2"/>
    <w:rsid w:val="00C07AD9"/>
    <w:rsid w:val="00C234FB"/>
    <w:rsid w:val="00C2749F"/>
    <w:rsid w:val="00C37D1B"/>
    <w:rsid w:val="00C42AAB"/>
    <w:rsid w:val="00C864E5"/>
    <w:rsid w:val="00C9217C"/>
    <w:rsid w:val="00C928F8"/>
    <w:rsid w:val="00CC02A2"/>
    <w:rsid w:val="00D034F7"/>
    <w:rsid w:val="00D10319"/>
    <w:rsid w:val="00D2666C"/>
    <w:rsid w:val="00D27033"/>
    <w:rsid w:val="00D32AC6"/>
    <w:rsid w:val="00D4136D"/>
    <w:rsid w:val="00D44781"/>
    <w:rsid w:val="00D46A2D"/>
    <w:rsid w:val="00D47D93"/>
    <w:rsid w:val="00D546FC"/>
    <w:rsid w:val="00D85433"/>
    <w:rsid w:val="00DB7952"/>
    <w:rsid w:val="00DC20B1"/>
    <w:rsid w:val="00E0720F"/>
    <w:rsid w:val="00E13D2D"/>
    <w:rsid w:val="00E16CE6"/>
    <w:rsid w:val="00E25F0E"/>
    <w:rsid w:val="00E27454"/>
    <w:rsid w:val="00E33F8F"/>
    <w:rsid w:val="00E43087"/>
    <w:rsid w:val="00E512BC"/>
    <w:rsid w:val="00E5132A"/>
    <w:rsid w:val="00E62575"/>
    <w:rsid w:val="00E67E2B"/>
    <w:rsid w:val="00E77DF0"/>
    <w:rsid w:val="00E90172"/>
    <w:rsid w:val="00EA5D94"/>
    <w:rsid w:val="00EB262E"/>
    <w:rsid w:val="00EC240B"/>
    <w:rsid w:val="00EC7A13"/>
    <w:rsid w:val="00ED60DE"/>
    <w:rsid w:val="00F01A1C"/>
    <w:rsid w:val="00F207AE"/>
    <w:rsid w:val="00F37384"/>
    <w:rsid w:val="00FA033E"/>
    <w:rsid w:val="00FA7D2F"/>
    <w:rsid w:val="00FB1A81"/>
    <w:rsid w:val="00FC64F1"/>
    <w:rsid w:val="00FD13D9"/>
    <w:rsid w:val="00FD7DDF"/>
    <w:rsid w:val="00FE2A80"/>
    <w:rsid w:val="00FE2D08"/>
    <w:rsid w:val="00FE5A1C"/>
    <w:rsid w:val="00FE7A5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F06EF9"/>
  <w15:docId w15:val="{98F94298-6FAA-4935-82F0-43992293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381B"/>
    <w:pPr>
      <w:ind w:left="720"/>
      <w:contextualSpacing/>
    </w:pPr>
  </w:style>
  <w:style w:type="paragraph" w:styleId="Fotnotetekst">
    <w:name w:val="footnote text"/>
    <w:basedOn w:val="Normal"/>
    <w:link w:val="FotnotetekstTegn"/>
    <w:uiPriority w:val="99"/>
    <w:semiHidden/>
    <w:unhideWhenUsed/>
    <w:rsid w:val="00FE7A5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E7A55"/>
    <w:rPr>
      <w:sz w:val="20"/>
      <w:szCs w:val="20"/>
      <w:lang w:val="nn-NO"/>
    </w:rPr>
  </w:style>
  <w:style w:type="character" w:styleId="Fotnotereferanse">
    <w:name w:val="footnote reference"/>
    <w:basedOn w:val="Standardskriftforavsnitt"/>
    <w:uiPriority w:val="99"/>
    <w:semiHidden/>
    <w:unhideWhenUsed/>
    <w:rsid w:val="00FE7A55"/>
    <w:rPr>
      <w:vertAlign w:val="superscript"/>
    </w:rPr>
  </w:style>
  <w:style w:type="paragraph" w:customStyle="1" w:styleId="Default">
    <w:name w:val="Default"/>
    <w:rsid w:val="00FD13D9"/>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F01A1C"/>
    <w:rPr>
      <w:sz w:val="16"/>
      <w:szCs w:val="16"/>
    </w:rPr>
  </w:style>
  <w:style w:type="paragraph" w:styleId="Merknadstekst">
    <w:name w:val="annotation text"/>
    <w:basedOn w:val="Normal"/>
    <w:link w:val="MerknadstekstTegn"/>
    <w:uiPriority w:val="99"/>
    <w:semiHidden/>
    <w:unhideWhenUsed/>
    <w:rsid w:val="00F01A1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01A1C"/>
    <w:rPr>
      <w:sz w:val="20"/>
      <w:szCs w:val="20"/>
      <w:lang w:val="nn-NO"/>
    </w:rPr>
  </w:style>
  <w:style w:type="paragraph" w:styleId="Kommentaremne">
    <w:name w:val="annotation subject"/>
    <w:basedOn w:val="Merknadstekst"/>
    <w:next w:val="Merknadstekst"/>
    <w:link w:val="KommentaremneTegn"/>
    <w:uiPriority w:val="99"/>
    <w:semiHidden/>
    <w:unhideWhenUsed/>
    <w:rsid w:val="00F01A1C"/>
    <w:rPr>
      <w:b/>
      <w:bCs/>
    </w:rPr>
  </w:style>
  <w:style w:type="character" w:customStyle="1" w:styleId="KommentaremneTegn">
    <w:name w:val="Kommentaremne Tegn"/>
    <w:basedOn w:val="MerknadstekstTegn"/>
    <w:link w:val="Kommentaremne"/>
    <w:uiPriority w:val="99"/>
    <w:semiHidden/>
    <w:rsid w:val="00F01A1C"/>
    <w:rPr>
      <w:b/>
      <w:bCs/>
      <w:sz w:val="20"/>
      <w:szCs w:val="20"/>
      <w:lang w:val="nn-NO"/>
    </w:rPr>
  </w:style>
  <w:style w:type="paragraph" w:styleId="Bobletekst">
    <w:name w:val="Balloon Text"/>
    <w:basedOn w:val="Normal"/>
    <w:link w:val="BobletekstTegn"/>
    <w:uiPriority w:val="99"/>
    <w:semiHidden/>
    <w:unhideWhenUsed/>
    <w:rsid w:val="00F01A1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01A1C"/>
    <w:rPr>
      <w:rFonts w:ascii="Segoe UI" w:hAnsi="Segoe UI" w:cs="Segoe UI"/>
      <w:sz w:val="18"/>
      <w:szCs w:val="18"/>
      <w:lang w:val="nn-NO"/>
    </w:rPr>
  </w:style>
  <w:style w:type="paragraph" w:styleId="NormalWeb">
    <w:name w:val="Normal (Web)"/>
    <w:basedOn w:val="Normal"/>
    <w:uiPriority w:val="99"/>
    <w:semiHidden/>
    <w:unhideWhenUsed/>
    <w:rsid w:val="00A13F4D"/>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opptekst">
    <w:name w:val="header"/>
    <w:basedOn w:val="Normal"/>
    <w:link w:val="TopptekstTegn"/>
    <w:uiPriority w:val="99"/>
    <w:unhideWhenUsed/>
    <w:rsid w:val="000D53D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53D5"/>
    <w:rPr>
      <w:lang w:val="nn-NO"/>
    </w:rPr>
  </w:style>
  <w:style w:type="paragraph" w:styleId="Bunntekst">
    <w:name w:val="footer"/>
    <w:basedOn w:val="Normal"/>
    <w:link w:val="BunntekstTegn"/>
    <w:uiPriority w:val="99"/>
    <w:unhideWhenUsed/>
    <w:rsid w:val="000D53D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53D5"/>
    <w:rPr>
      <w:lang w:val="nn-NO"/>
    </w:rPr>
  </w:style>
  <w:style w:type="table" w:styleId="Tabellrutenett">
    <w:name w:val="Table Grid"/>
    <w:basedOn w:val="Vanligtabell"/>
    <w:uiPriority w:val="39"/>
    <w:rsid w:val="0070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D1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378">
      <w:bodyDiv w:val="1"/>
      <w:marLeft w:val="0"/>
      <w:marRight w:val="0"/>
      <w:marTop w:val="0"/>
      <w:marBottom w:val="0"/>
      <w:divBdr>
        <w:top w:val="none" w:sz="0" w:space="0" w:color="auto"/>
        <w:left w:val="none" w:sz="0" w:space="0" w:color="auto"/>
        <w:bottom w:val="none" w:sz="0" w:space="0" w:color="auto"/>
        <w:right w:val="none" w:sz="0" w:space="0" w:color="auto"/>
      </w:divBdr>
      <w:divsChild>
        <w:div w:id="1169902671">
          <w:marLeft w:val="360"/>
          <w:marRight w:val="0"/>
          <w:marTop w:val="200"/>
          <w:marBottom w:val="0"/>
          <w:divBdr>
            <w:top w:val="none" w:sz="0" w:space="0" w:color="auto"/>
            <w:left w:val="none" w:sz="0" w:space="0" w:color="auto"/>
            <w:bottom w:val="none" w:sz="0" w:space="0" w:color="auto"/>
            <w:right w:val="none" w:sz="0" w:space="0" w:color="auto"/>
          </w:divBdr>
        </w:div>
      </w:divsChild>
    </w:div>
    <w:div w:id="648704394">
      <w:bodyDiv w:val="1"/>
      <w:marLeft w:val="0"/>
      <w:marRight w:val="0"/>
      <w:marTop w:val="0"/>
      <w:marBottom w:val="0"/>
      <w:divBdr>
        <w:top w:val="none" w:sz="0" w:space="0" w:color="auto"/>
        <w:left w:val="none" w:sz="0" w:space="0" w:color="auto"/>
        <w:bottom w:val="none" w:sz="0" w:space="0" w:color="auto"/>
        <w:right w:val="none" w:sz="0" w:space="0" w:color="auto"/>
      </w:divBdr>
    </w:div>
    <w:div w:id="1328364548">
      <w:bodyDiv w:val="1"/>
      <w:marLeft w:val="0"/>
      <w:marRight w:val="0"/>
      <w:marTop w:val="0"/>
      <w:marBottom w:val="0"/>
      <w:divBdr>
        <w:top w:val="none" w:sz="0" w:space="0" w:color="auto"/>
        <w:left w:val="none" w:sz="0" w:space="0" w:color="auto"/>
        <w:bottom w:val="none" w:sz="0" w:space="0" w:color="auto"/>
        <w:right w:val="none" w:sz="0" w:space="0" w:color="auto"/>
      </w:divBdr>
    </w:div>
    <w:div w:id="16348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usleksikon.no/wiki/Nor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8A000-E612-4DC2-ACBA-0198CEE2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4867</Words>
  <Characters>25798</Characters>
  <Application>Microsoft Office Word</Application>
  <DocSecurity>0</DocSecurity>
  <Lines>214</Lines>
  <Paragraphs>61</Paragraphs>
  <ScaleCrop>false</ScaleCrop>
  <HeadingPairs>
    <vt:vector size="2" baseType="variant">
      <vt:variant>
        <vt:lpstr>Tittel</vt:lpstr>
      </vt:variant>
      <vt:variant>
        <vt:i4>1</vt:i4>
      </vt:variant>
    </vt:vector>
  </HeadingPairs>
  <TitlesOfParts>
    <vt:vector size="1" baseType="lpstr">
      <vt:lpstr/>
    </vt:vector>
  </TitlesOfParts>
  <Company>UiT Norges arktiske universitet</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Sveinung Eikeland</dc:creator>
  <cp:keywords/>
  <dc:description/>
  <cp:lastModifiedBy>Sveinung Eikeland</cp:lastModifiedBy>
  <cp:revision>2</cp:revision>
  <cp:lastPrinted>2019-06-14T12:44:00Z</cp:lastPrinted>
  <dcterms:created xsi:type="dcterms:W3CDTF">2019-06-16T13:09:00Z</dcterms:created>
  <dcterms:modified xsi:type="dcterms:W3CDTF">2019-06-16T13:09:00Z</dcterms:modified>
</cp:coreProperties>
</file>