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D5F7A" w14:textId="77777777" w:rsidR="003F4929" w:rsidRDefault="003F4929" w:rsidP="003F4929">
      <w:pPr>
        <w:pStyle w:val="Tittel"/>
        <w:jc w:val="center"/>
        <w:rPr>
          <w:rFonts w:eastAsia="Times New Roman"/>
          <w:lang w:eastAsia="nb-NO"/>
        </w:rPr>
      </w:pPr>
      <w:bookmarkStart w:id="0" w:name="_GoBack"/>
      <w:bookmarkEnd w:id="0"/>
      <w:r>
        <w:rPr>
          <w:rFonts w:eastAsia="Times New Roman"/>
          <w:lang w:eastAsia="nb-NO"/>
        </w:rPr>
        <w:t>Innspill til</w:t>
      </w:r>
    </w:p>
    <w:p w14:paraId="6029A26C" w14:textId="4C12796F" w:rsidR="009A3064" w:rsidRPr="00EF4208" w:rsidRDefault="00BA7787" w:rsidP="003F4929">
      <w:pPr>
        <w:pStyle w:val="Tittel"/>
        <w:jc w:val="center"/>
        <w:rPr>
          <w:rFonts w:eastAsia="Times New Roman"/>
          <w:lang w:eastAsia="nb-NO"/>
        </w:rPr>
      </w:pPr>
      <w:r>
        <w:rPr>
          <w:rFonts w:eastAsia="Times New Roman"/>
          <w:lang w:eastAsia="nb-NO"/>
        </w:rPr>
        <w:t>u</w:t>
      </w:r>
      <w:r w:rsidR="004D5B11" w:rsidRPr="00EF4208">
        <w:rPr>
          <w:rFonts w:eastAsia="Times New Roman"/>
          <w:lang w:eastAsia="nb-NO"/>
        </w:rPr>
        <w:t>niversitets- og høyskoleloven § 2-1</w:t>
      </w:r>
      <w:r w:rsidR="00CF0A1A">
        <w:rPr>
          <w:rFonts w:eastAsia="Times New Roman"/>
          <w:lang w:eastAsia="nb-NO"/>
        </w:rPr>
        <w:t xml:space="preserve"> NOKUTs oppgaver og myndighet</w:t>
      </w:r>
    </w:p>
    <w:sdt>
      <w:sdtPr>
        <w:rPr>
          <w:rFonts w:asciiTheme="minorHAnsi" w:eastAsiaTheme="minorHAnsi" w:hAnsiTheme="minorHAnsi" w:cstheme="majorHAnsi"/>
          <w:color w:val="auto"/>
          <w:sz w:val="22"/>
          <w:szCs w:val="22"/>
          <w:lang w:eastAsia="en-US"/>
        </w:rPr>
        <w:id w:val="-1474592081"/>
        <w:docPartObj>
          <w:docPartGallery w:val="Table of Contents"/>
          <w:docPartUnique/>
        </w:docPartObj>
      </w:sdtPr>
      <w:sdtEndPr>
        <w:rPr>
          <w:b/>
          <w:bCs/>
        </w:rPr>
      </w:sdtEndPr>
      <w:sdtContent>
        <w:p w14:paraId="50795101" w14:textId="26F304DC" w:rsidR="00080996" w:rsidRPr="00C405F9" w:rsidRDefault="00080996" w:rsidP="00C405F9">
          <w:pPr>
            <w:pStyle w:val="Overskriftforinnholdsfortegnelse"/>
            <w:rPr>
              <w:rFonts w:cstheme="majorHAnsi"/>
              <w:sz w:val="22"/>
              <w:szCs w:val="22"/>
            </w:rPr>
          </w:pPr>
          <w:r w:rsidRPr="00C405F9">
            <w:rPr>
              <w:rFonts w:cstheme="majorHAnsi"/>
              <w:sz w:val="22"/>
              <w:szCs w:val="22"/>
            </w:rPr>
            <w:t>Innhold</w:t>
          </w:r>
        </w:p>
        <w:p w14:paraId="06A35734" w14:textId="77777777" w:rsidR="001E3E7E" w:rsidRDefault="00080996">
          <w:pPr>
            <w:pStyle w:val="INNH1"/>
            <w:tabs>
              <w:tab w:val="left" w:pos="440"/>
              <w:tab w:val="right" w:leader="dot" w:pos="9062"/>
            </w:tabs>
            <w:rPr>
              <w:rFonts w:eastAsiaTheme="minorEastAsia"/>
              <w:noProof/>
              <w:lang w:eastAsia="nb-NO"/>
            </w:rPr>
          </w:pPr>
          <w:r w:rsidRPr="00C405F9">
            <w:rPr>
              <w:rFonts w:asciiTheme="majorHAnsi" w:hAnsiTheme="majorHAnsi" w:cstheme="majorHAnsi"/>
              <w:b/>
              <w:bCs/>
            </w:rPr>
            <w:fldChar w:fldCharType="begin"/>
          </w:r>
          <w:r w:rsidRPr="00C405F9">
            <w:rPr>
              <w:rFonts w:asciiTheme="majorHAnsi" w:hAnsiTheme="majorHAnsi" w:cstheme="majorHAnsi"/>
              <w:b/>
              <w:bCs/>
            </w:rPr>
            <w:instrText xml:space="preserve"> TOC \o "1-3" \h \z \u </w:instrText>
          </w:r>
          <w:r w:rsidRPr="00C405F9">
            <w:rPr>
              <w:rFonts w:asciiTheme="majorHAnsi" w:hAnsiTheme="majorHAnsi" w:cstheme="majorHAnsi"/>
              <w:b/>
              <w:bCs/>
            </w:rPr>
            <w:fldChar w:fldCharType="separate"/>
          </w:r>
          <w:hyperlink w:anchor="_Toc9835488" w:history="1">
            <w:r w:rsidR="001E3E7E" w:rsidRPr="00BF6E93">
              <w:rPr>
                <w:rStyle w:val="Hyperkobling"/>
                <w:rFonts w:eastAsia="Times New Roman" w:cstheme="majorHAnsi"/>
                <w:noProof/>
                <w:lang w:eastAsia="nb-NO"/>
              </w:rPr>
              <w:t>1.</w:t>
            </w:r>
            <w:r w:rsidR="001E3E7E">
              <w:rPr>
                <w:rFonts w:eastAsiaTheme="minorEastAsia"/>
                <w:noProof/>
                <w:lang w:eastAsia="nb-NO"/>
              </w:rPr>
              <w:tab/>
            </w:r>
            <w:r w:rsidR="001E3E7E" w:rsidRPr="00BF6E93">
              <w:rPr>
                <w:rStyle w:val="Hyperkobling"/>
                <w:rFonts w:eastAsia="Times New Roman" w:cstheme="majorHAnsi"/>
                <w:noProof/>
                <w:lang w:eastAsia="nb-NO"/>
              </w:rPr>
              <w:t>Innledning</w:t>
            </w:r>
            <w:r w:rsidR="001E3E7E">
              <w:rPr>
                <w:noProof/>
                <w:webHidden/>
              </w:rPr>
              <w:tab/>
            </w:r>
            <w:r w:rsidR="001E3E7E">
              <w:rPr>
                <w:noProof/>
                <w:webHidden/>
              </w:rPr>
              <w:fldChar w:fldCharType="begin"/>
            </w:r>
            <w:r w:rsidR="001E3E7E">
              <w:rPr>
                <w:noProof/>
                <w:webHidden/>
              </w:rPr>
              <w:instrText xml:space="preserve"> PAGEREF _Toc9835488 \h </w:instrText>
            </w:r>
            <w:r w:rsidR="001E3E7E">
              <w:rPr>
                <w:noProof/>
                <w:webHidden/>
              </w:rPr>
            </w:r>
            <w:r w:rsidR="001E3E7E">
              <w:rPr>
                <w:noProof/>
                <w:webHidden/>
              </w:rPr>
              <w:fldChar w:fldCharType="separate"/>
            </w:r>
            <w:r w:rsidR="001E3E7E">
              <w:rPr>
                <w:noProof/>
                <w:webHidden/>
              </w:rPr>
              <w:t>1</w:t>
            </w:r>
            <w:r w:rsidR="001E3E7E">
              <w:rPr>
                <w:noProof/>
                <w:webHidden/>
              </w:rPr>
              <w:fldChar w:fldCharType="end"/>
            </w:r>
          </w:hyperlink>
        </w:p>
        <w:p w14:paraId="43552428" w14:textId="77777777" w:rsidR="001E3E7E" w:rsidRDefault="003D3649">
          <w:pPr>
            <w:pStyle w:val="INNH1"/>
            <w:tabs>
              <w:tab w:val="left" w:pos="440"/>
              <w:tab w:val="right" w:leader="dot" w:pos="9062"/>
            </w:tabs>
            <w:rPr>
              <w:rFonts w:eastAsiaTheme="minorEastAsia"/>
              <w:noProof/>
              <w:lang w:eastAsia="nb-NO"/>
            </w:rPr>
          </w:pPr>
          <w:hyperlink w:anchor="_Toc9835489" w:history="1">
            <w:r w:rsidR="001E3E7E" w:rsidRPr="00BF6E93">
              <w:rPr>
                <w:rStyle w:val="Hyperkobling"/>
                <w:rFonts w:eastAsia="Times New Roman" w:cstheme="majorHAnsi"/>
                <w:noProof/>
                <w:lang w:eastAsia="nb-NO"/>
              </w:rPr>
              <w:t>2.</w:t>
            </w:r>
            <w:r w:rsidR="001E3E7E">
              <w:rPr>
                <w:rFonts w:eastAsiaTheme="minorEastAsia"/>
                <w:noProof/>
                <w:lang w:eastAsia="nb-NO"/>
              </w:rPr>
              <w:tab/>
            </w:r>
            <w:r w:rsidR="001E3E7E" w:rsidRPr="00BF6E93">
              <w:rPr>
                <w:rStyle w:val="Hyperkobling"/>
                <w:rFonts w:eastAsia="Times New Roman" w:cstheme="majorHAnsi"/>
                <w:noProof/>
                <w:lang w:eastAsia="nb-NO"/>
              </w:rPr>
              <w:t>Det materielle innholdet</w:t>
            </w:r>
            <w:r w:rsidR="001E3E7E">
              <w:rPr>
                <w:noProof/>
                <w:webHidden/>
              </w:rPr>
              <w:tab/>
            </w:r>
            <w:r w:rsidR="001E3E7E">
              <w:rPr>
                <w:noProof/>
                <w:webHidden/>
              </w:rPr>
              <w:fldChar w:fldCharType="begin"/>
            </w:r>
            <w:r w:rsidR="001E3E7E">
              <w:rPr>
                <w:noProof/>
                <w:webHidden/>
              </w:rPr>
              <w:instrText xml:space="preserve"> PAGEREF _Toc9835489 \h </w:instrText>
            </w:r>
            <w:r w:rsidR="001E3E7E">
              <w:rPr>
                <w:noProof/>
                <w:webHidden/>
              </w:rPr>
            </w:r>
            <w:r w:rsidR="001E3E7E">
              <w:rPr>
                <w:noProof/>
                <w:webHidden/>
              </w:rPr>
              <w:fldChar w:fldCharType="separate"/>
            </w:r>
            <w:r w:rsidR="001E3E7E">
              <w:rPr>
                <w:noProof/>
                <w:webHidden/>
              </w:rPr>
              <w:t>2</w:t>
            </w:r>
            <w:r w:rsidR="001E3E7E">
              <w:rPr>
                <w:noProof/>
                <w:webHidden/>
              </w:rPr>
              <w:fldChar w:fldCharType="end"/>
            </w:r>
          </w:hyperlink>
        </w:p>
        <w:p w14:paraId="3458EA33" w14:textId="77777777" w:rsidR="001E3E7E" w:rsidRDefault="003D3649">
          <w:pPr>
            <w:pStyle w:val="INNH1"/>
            <w:tabs>
              <w:tab w:val="left" w:pos="660"/>
              <w:tab w:val="right" w:leader="dot" w:pos="9062"/>
            </w:tabs>
            <w:rPr>
              <w:rFonts w:eastAsiaTheme="minorEastAsia"/>
              <w:noProof/>
              <w:lang w:eastAsia="nb-NO"/>
            </w:rPr>
          </w:pPr>
          <w:hyperlink w:anchor="_Toc9835490" w:history="1">
            <w:r w:rsidR="001E3E7E" w:rsidRPr="00BF6E93">
              <w:rPr>
                <w:rStyle w:val="Hyperkobling"/>
                <w:rFonts w:eastAsia="Times New Roman" w:cstheme="majorHAnsi"/>
                <w:noProof/>
                <w:lang w:eastAsia="nb-NO"/>
              </w:rPr>
              <w:t>2.1.</w:t>
            </w:r>
            <w:r w:rsidR="001E3E7E">
              <w:rPr>
                <w:rFonts w:eastAsiaTheme="minorEastAsia"/>
                <w:noProof/>
                <w:lang w:eastAsia="nb-NO"/>
              </w:rPr>
              <w:tab/>
            </w:r>
            <w:r w:rsidR="001E3E7E" w:rsidRPr="00BF6E93">
              <w:rPr>
                <w:rStyle w:val="Hyperkobling"/>
                <w:rFonts w:eastAsia="Times New Roman" w:cstheme="majorHAnsi"/>
                <w:noProof/>
                <w:lang w:eastAsia="nb-NO"/>
              </w:rPr>
              <w:t>NOKUTs uavhengighet</w:t>
            </w:r>
            <w:r w:rsidR="001E3E7E">
              <w:rPr>
                <w:noProof/>
                <w:webHidden/>
              </w:rPr>
              <w:tab/>
            </w:r>
            <w:r w:rsidR="001E3E7E">
              <w:rPr>
                <w:noProof/>
                <w:webHidden/>
              </w:rPr>
              <w:fldChar w:fldCharType="begin"/>
            </w:r>
            <w:r w:rsidR="001E3E7E">
              <w:rPr>
                <w:noProof/>
                <w:webHidden/>
              </w:rPr>
              <w:instrText xml:space="preserve"> PAGEREF _Toc9835490 \h </w:instrText>
            </w:r>
            <w:r w:rsidR="001E3E7E">
              <w:rPr>
                <w:noProof/>
                <w:webHidden/>
              </w:rPr>
            </w:r>
            <w:r w:rsidR="001E3E7E">
              <w:rPr>
                <w:noProof/>
                <w:webHidden/>
              </w:rPr>
              <w:fldChar w:fldCharType="separate"/>
            </w:r>
            <w:r w:rsidR="001E3E7E">
              <w:rPr>
                <w:noProof/>
                <w:webHidden/>
              </w:rPr>
              <w:t>2</w:t>
            </w:r>
            <w:r w:rsidR="001E3E7E">
              <w:rPr>
                <w:noProof/>
                <w:webHidden/>
              </w:rPr>
              <w:fldChar w:fldCharType="end"/>
            </w:r>
          </w:hyperlink>
        </w:p>
        <w:p w14:paraId="521D6DEF" w14:textId="77777777" w:rsidR="001E3E7E" w:rsidRDefault="003D3649">
          <w:pPr>
            <w:pStyle w:val="INNH1"/>
            <w:tabs>
              <w:tab w:val="left" w:pos="660"/>
              <w:tab w:val="right" w:leader="dot" w:pos="9062"/>
            </w:tabs>
            <w:rPr>
              <w:rFonts w:eastAsiaTheme="minorEastAsia"/>
              <w:noProof/>
              <w:lang w:eastAsia="nb-NO"/>
            </w:rPr>
          </w:pPr>
          <w:hyperlink w:anchor="_Toc9835491" w:history="1">
            <w:r w:rsidR="001E3E7E" w:rsidRPr="00BF6E93">
              <w:rPr>
                <w:rStyle w:val="Hyperkobling"/>
                <w:rFonts w:eastAsia="Times New Roman" w:cstheme="majorHAnsi"/>
                <w:noProof/>
                <w:lang w:eastAsia="nb-NO"/>
              </w:rPr>
              <w:t>2.2.</w:t>
            </w:r>
            <w:r w:rsidR="001E3E7E">
              <w:rPr>
                <w:rFonts w:eastAsiaTheme="minorEastAsia"/>
                <w:noProof/>
                <w:lang w:eastAsia="nb-NO"/>
              </w:rPr>
              <w:tab/>
            </w:r>
            <w:r w:rsidR="001E3E7E" w:rsidRPr="00BF6E93">
              <w:rPr>
                <w:rStyle w:val="Hyperkobling"/>
                <w:rFonts w:eastAsia="Times New Roman" w:cstheme="majorHAnsi"/>
                <w:noProof/>
                <w:lang w:eastAsia="nb-NO"/>
              </w:rPr>
              <w:t>NOKUTs formål</w:t>
            </w:r>
            <w:r w:rsidR="001E3E7E">
              <w:rPr>
                <w:noProof/>
                <w:webHidden/>
              </w:rPr>
              <w:tab/>
            </w:r>
            <w:r w:rsidR="001E3E7E">
              <w:rPr>
                <w:noProof/>
                <w:webHidden/>
              </w:rPr>
              <w:fldChar w:fldCharType="begin"/>
            </w:r>
            <w:r w:rsidR="001E3E7E">
              <w:rPr>
                <w:noProof/>
                <w:webHidden/>
              </w:rPr>
              <w:instrText xml:space="preserve"> PAGEREF _Toc9835491 \h </w:instrText>
            </w:r>
            <w:r w:rsidR="001E3E7E">
              <w:rPr>
                <w:noProof/>
                <w:webHidden/>
              </w:rPr>
            </w:r>
            <w:r w:rsidR="001E3E7E">
              <w:rPr>
                <w:noProof/>
                <w:webHidden/>
              </w:rPr>
              <w:fldChar w:fldCharType="separate"/>
            </w:r>
            <w:r w:rsidR="001E3E7E">
              <w:rPr>
                <w:noProof/>
                <w:webHidden/>
              </w:rPr>
              <w:t>3</w:t>
            </w:r>
            <w:r w:rsidR="001E3E7E">
              <w:rPr>
                <w:noProof/>
                <w:webHidden/>
              </w:rPr>
              <w:fldChar w:fldCharType="end"/>
            </w:r>
          </w:hyperlink>
        </w:p>
        <w:p w14:paraId="4E0F47A2" w14:textId="77777777" w:rsidR="001E3E7E" w:rsidRDefault="003D3649">
          <w:pPr>
            <w:pStyle w:val="INNH1"/>
            <w:tabs>
              <w:tab w:val="left" w:pos="660"/>
              <w:tab w:val="right" w:leader="dot" w:pos="9062"/>
            </w:tabs>
            <w:rPr>
              <w:rFonts w:eastAsiaTheme="minorEastAsia"/>
              <w:noProof/>
              <w:lang w:eastAsia="nb-NO"/>
            </w:rPr>
          </w:pPr>
          <w:hyperlink w:anchor="_Toc9835492" w:history="1">
            <w:r w:rsidR="001E3E7E" w:rsidRPr="00BF6E93">
              <w:rPr>
                <w:rStyle w:val="Hyperkobling"/>
                <w:rFonts w:eastAsia="Times New Roman" w:cstheme="majorHAnsi"/>
                <w:noProof/>
                <w:lang w:eastAsia="nb-NO"/>
              </w:rPr>
              <w:t>2.3.</w:t>
            </w:r>
            <w:r w:rsidR="001E3E7E">
              <w:rPr>
                <w:rFonts w:eastAsiaTheme="minorEastAsia"/>
                <w:noProof/>
                <w:lang w:eastAsia="nb-NO"/>
              </w:rPr>
              <w:tab/>
            </w:r>
            <w:r w:rsidR="001E3E7E" w:rsidRPr="00BF6E93">
              <w:rPr>
                <w:rStyle w:val="Hyperkobling"/>
                <w:rFonts w:eastAsia="Times New Roman" w:cstheme="majorHAnsi"/>
                <w:noProof/>
                <w:lang w:eastAsia="nb-NO"/>
              </w:rPr>
              <w:t>NOKUTs oppgaver</w:t>
            </w:r>
            <w:r w:rsidR="001E3E7E">
              <w:rPr>
                <w:noProof/>
                <w:webHidden/>
              </w:rPr>
              <w:tab/>
            </w:r>
            <w:r w:rsidR="001E3E7E">
              <w:rPr>
                <w:noProof/>
                <w:webHidden/>
              </w:rPr>
              <w:fldChar w:fldCharType="begin"/>
            </w:r>
            <w:r w:rsidR="001E3E7E">
              <w:rPr>
                <w:noProof/>
                <w:webHidden/>
              </w:rPr>
              <w:instrText xml:space="preserve"> PAGEREF _Toc9835492 \h </w:instrText>
            </w:r>
            <w:r w:rsidR="001E3E7E">
              <w:rPr>
                <w:noProof/>
                <w:webHidden/>
              </w:rPr>
            </w:r>
            <w:r w:rsidR="001E3E7E">
              <w:rPr>
                <w:noProof/>
                <w:webHidden/>
              </w:rPr>
              <w:fldChar w:fldCharType="separate"/>
            </w:r>
            <w:r w:rsidR="001E3E7E">
              <w:rPr>
                <w:noProof/>
                <w:webHidden/>
              </w:rPr>
              <w:t>4</w:t>
            </w:r>
            <w:r w:rsidR="001E3E7E">
              <w:rPr>
                <w:noProof/>
                <w:webHidden/>
              </w:rPr>
              <w:fldChar w:fldCharType="end"/>
            </w:r>
          </w:hyperlink>
        </w:p>
        <w:p w14:paraId="3B3BFB93" w14:textId="77777777" w:rsidR="001E3E7E" w:rsidRDefault="003D3649">
          <w:pPr>
            <w:pStyle w:val="INNH1"/>
            <w:tabs>
              <w:tab w:val="left" w:pos="660"/>
              <w:tab w:val="right" w:leader="dot" w:pos="9062"/>
            </w:tabs>
            <w:rPr>
              <w:rFonts w:eastAsiaTheme="minorEastAsia"/>
              <w:noProof/>
              <w:lang w:eastAsia="nb-NO"/>
            </w:rPr>
          </w:pPr>
          <w:hyperlink w:anchor="_Toc9835493" w:history="1">
            <w:r w:rsidR="001E3E7E" w:rsidRPr="00BF6E93">
              <w:rPr>
                <w:rStyle w:val="Hyperkobling"/>
                <w:rFonts w:eastAsia="Times New Roman" w:cstheme="majorHAnsi"/>
                <w:noProof/>
                <w:lang w:eastAsia="nb-NO"/>
              </w:rPr>
              <w:t>2.4.</w:t>
            </w:r>
            <w:r w:rsidR="001E3E7E">
              <w:rPr>
                <w:rFonts w:eastAsiaTheme="minorEastAsia"/>
                <w:noProof/>
                <w:lang w:eastAsia="nb-NO"/>
              </w:rPr>
              <w:tab/>
            </w:r>
            <w:r w:rsidR="001E3E7E" w:rsidRPr="00BF6E93">
              <w:rPr>
                <w:rStyle w:val="Hyperkobling"/>
                <w:rFonts w:eastAsia="Times New Roman" w:cstheme="majorHAnsi"/>
                <w:noProof/>
                <w:lang w:eastAsia="nb-NO"/>
              </w:rPr>
              <w:t>Høyere yrkesfaglig utdanning</w:t>
            </w:r>
            <w:r w:rsidR="001E3E7E">
              <w:rPr>
                <w:noProof/>
                <w:webHidden/>
              </w:rPr>
              <w:tab/>
            </w:r>
            <w:r w:rsidR="001E3E7E">
              <w:rPr>
                <w:noProof/>
                <w:webHidden/>
              </w:rPr>
              <w:fldChar w:fldCharType="begin"/>
            </w:r>
            <w:r w:rsidR="001E3E7E">
              <w:rPr>
                <w:noProof/>
                <w:webHidden/>
              </w:rPr>
              <w:instrText xml:space="preserve"> PAGEREF _Toc9835493 \h </w:instrText>
            </w:r>
            <w:r w:rsidR="001E3E7E">
              <w:rPr>
                <w:noProof/>
                <w:webHidden/>
              </w:rPr>
            </w:r>
            <w:r w:rsidR="001E3E7E">
              <w:rPr>
                <w:noProof/>
                <w:webHidden/>
              </w:rPr>
              <w:fldChar w:fldCharType="separate"/>
            </w:r>
            <w:r w:rsidR="001E3E7E">
              <w:rPr>
                <w:noProof/>
                <w:webHidden/>
              </w:rPr>
              <w:t>5</w:t>
            </w:r>
            <w:r w:rsidR="001E3E7E">
              <w:rPr>
                <w:noProof/>
                <w:webHidden/>
              </w:rPr>
              <w:fldChar w:fldCharType="end"/>
            </w:r>
          </w:hyperlink>
        </w:p>
        <w:p w14:paraId="072F1B8F" w14:textId="77777777" w:rsidR="001E3E7E" w:rsidRDefault="003D3649">
          <w:pPr>
            <w:pStyle w:val="INNH1"/>
            <w:tabs>
              <w:tab w:val="left" w:pos="440"/>
              <w:tab w:val="right" w:leader="dot" w:pos="9062"/>
            </w:tabs>
            <w:rPr>
              <w:rFonts w:eastAsiaTheme="minorEastAsia"/>
              <w:noProof/>
              <w:lang w:eastAsia="nb-NO"/>
            </w:rPr>
          </w:pPr>
          <w:hyperlink w:anchor="_Toc9835494" w:history="1">
            <w:r w:rsidR="001E3E7E" w:rsidRPr="00BF6E93">
              <w:rPr>
                <w:rStyle w:val="Hyperkobling"/>
                <w:rFonts w:eastAsia="Times New Roman" w:cstheme="majorHAnsi"/>
                <w:noProof/>
                <w:lang w:eastAsia="nb-NO"/>
              </w:rPr>
              <w:t>3.</w:t>
            </w:r>
            <w:r w:rsidR="001E3E7E">
              <w:rPr>
                <w:rFonts w:eastAsiaTheme="minorEastAsia"/>
                <w:noProof/>
                <w:lang w:eastAsia="nb-NO"/>
              </w:rPr>
              <w:tab/>
            </w:r>
            <w:r w:rsidR="001E3E7E" w:rsidRPr="00BF6E93">
              <w:rPr>
                <w:rStyle w:val="Hyperkobling"/>
                <w:rFonts w:eastAsia="Times New Roman" w:cstheme="majorHAnsi"/>
                <w:noProof/>
                <w:lang w:eastAsia="nb-NO"/>
              </w:rPr>
              <w:t>Rettstekniske forhold</w:t>
            </w:r>
            <w:r w:rsidR="001E3E7E">
              <w:rPr>
                <w:noProof/>
                <w:webHidden/>
              </w:rPr>
              <w:tab/>
            </w:r>
            <w:r w:rsidR="001E3E7E">
              <w:rPr>
                <w:noProof/>
                <w:webHidden/>
              </w:rPr>
              <w:fldChar w:fldCharType="begin"/>
            </w:r>
            <w:r w:rsidR="001E3E7E">
              <w:rPr>
                <w:noProof/>
                <w:webHidden/>
              </w:rPr>
              <w:instrText xml:space="preserve"> PAGEREF _Toc9835494 \h </w:instrText>
            </w:r>
            <w:r w:rsidR="001E3E7E">
              <w:rPr>
                <w:noProof/>
                <w:webHidden/>
              </w:rPr>
            </w:r>
            <w:r w:rsidR="001E3E7E">
              <w:rPr>
                <w:noProof/>
                <w:webHidden/>
              </w:rPr>
              <w:fldChar w:fldCharType="separate"/>
            </w:r>
            <w:r w:rsidR="001E3E7E">
              <w:rPr>
                <w:noProof/>
                <w:webHidden/>
              </w:rPr>
              <w:t>6</w:t>
            </w:r>
            <w:r w:rsidR="001E3E7E">
              <w:rPr>
                <w:noProof/>
                <w:webHidden/>
              </w:rPr>
              <w:fldChar w:fldCharType="end"/>
            </w:r>
          </w:hyperlink>
        </w:p>
        <w:p w14:paraId="3540F8AB" w14:textId="77777777" w:rsidR="001E3E7E" w:rsidRDefault="003D3649">
          <w:pPr>
            <w:pStyle w:val="INNH1"/>
            <w:tabs>
              <w:tab w:val="left" w:pos="660"/>
              <w:tab w:val="right" w:leader="dot" w:pos="9062"/>
            </w:tabs>
            <w:rPr>
              <w:rFonts w:eastAsiaTheme="minorEastAsia"/>
              <w:noProof/>
              <w:lang w:eastAsia="nb-NO"/>
            </w:rPr>
          </w:pPr>
          <w:hyperlink w:anchor="_Toc9835495" w:history="1">
            <w:r w:rsidR="001E3E7E" w:rsidRPr="00BF6E93">
              <w:rPr>
                <w:rStyle w:val="Hyperkobling"/>
                <w:rFonts w:eastAsia="Times New Roman" w:cstheme="majorHAnsi"/>
                <w:noProof/>
                <w:lang w:eastAsia="nb-NO"/>
              </w:rPr>
              <w:t>3.1.</w:t>
            </w:r>
            <w:r w:rsidR="001E3E7E">
              <w:rPr>
                <w:rFonts w:eastAsiaTheme="minorEastAsia"/>
                <w:noProof/>
                <w:lang w:eastAsia="nb-NO"/>
              </w:rPr>
              <w:tab/>
            </w:r>
            <w:r w:rsidR="001E3E7E" w:rsidRPr="00BF6E93">
              <w:rPr>
                <w:rStyle w:val="Hyperkobling"/>
                <w:rFonts w:eastAsia="Times New Roman" w:cstheme="majorHAnsi"/>
                <w:noProof/>
                <w:lang w:eastAsia="nb-NO"/>
              </w:rPr>
              <w:t>Bestemmelsens overskrift</w:t>
            </w:r>
            <w:r w:rsidR="001E3E7E">
              <w:rPr>
                <w:noProof/>
                <w:webHidden/>
              </w:rPr>
              <w:tab/>
            </w:r>
            <w:r w:rsidR="001E3E7E">
              <w:rPr>
                <w:noProof/>
                <w:webHidden/>
              </w:rPr>
              <w:fldChar w:fldCharType="begin"/>
            </w:r>
            <w:r w:rsidR="001E3E7E">
              <w:rPr>
                <w:noProof/>
                <w:webHidden/>
              </w:rPr>
              <w:instrText xml:space="preserve"> PAGEREF _Toc9835495 \h </w:instrText>
            </w:r>
            <w:r w:rsidR="001E3E7E">
              <w:rPr>
                <w:noProof/>
                <w:webHidden/>
              </w:rPr>
            </w:r>
            <w:r w:rsidR="001E3E7E">
              <w:rPr>
                <w:noProof/>
                <w:webHidden/>
              </w:rPr>
              <w:fldChar w:fldCharType="separate"/>
            </w:r>
            <w:r w:rsidR="001E3E7E">
              <w:rPr>
                <w:noProof/>
                <w:webHidden/>
              </w:rPr>
              <w:t>6</w:t>
            </w:r>
            <w:r w:rsidR="001E3E7E">
              <w:rPr>
                <w:noProof/>
                <w:webHidden/>
              </w:rPr>
              <w:fldChar w:fldCharType="end"/>
            </w:r>
          </w:hyperlink>
        </w:p>
        <w:p w14:paraId="1890890C" w14:textId="77777777" w:rsidR="001E3E7E" w:rsidRDefault="003D3649">
          <w:pPr>
            <w:pStyle w:val="INNH1"/>
            <w:tabs>
              <w:tab w:val="left" w:pos="660"/>
              <w:tab w:val="right" w:leader="dot" w:pos="9062"/>
            </w:tabs>
            <w:rPr>
              <w:rFonts w:eastAsiaTheme="minorEastAsia"/>
              <w:noProof/>
              <w:lang w:eastAsia="nb-NO"/>
            </w:rPr>
          </w:pPr>
          <w:hyperlink w:anchor="_Toc9835496" w:history="1">
            <w:r w:rsidR="001E3E7E" w:rsidRPr="00BF6E93">
              <w:rPr>
                <w:rStyle w:val="Hyperkobling"/>
                <w:rFonts w:eastAsia="Times New Roman" w:cstheme="majorHAnsi"/>
                <w:noProof/>
                <w:lang w:eastAsia="nb-NO"/>
              </w:rPr>
              <w:t>3.2.</w:t>
            </w:r>
            <w:r w:rsidR="001E3E7E">
              <w:rPr>
                <w:rFonts w:eastAsiaTheme="minorEastAsia"/>
                <w:noProof/>
                <w:lang w:eastAsia="nb-NO"/>
              </w:rPr>
              <w:tab/>
            </w:r>
            <w:r w:rsidR="001E3E7E" w:rsidRPr="00BF6E93">
              <w:rPr>
                <w:rStyle w:val="Hyperkobling"/>
                <w:rFonts w:eastAsia="Times New Roman" w:cstheme="majorHAnsi"/>
                <w:noProof/>
                <w:lang w:eastAsia="nb-NO"/>
              </w:rPr>
              <w:t>Forskriftshjemmel</w:t>
            </w:r>
            <w:r w:rsidR="001E3E7E">
              <w:rPr>
                <w:noProof/>
                <w:webHidden/>
              </w:rPr>
              <w:tab/>
            </w:r>
            <w:r w:rsidR="001E3E7E">
              <w:rPr>
                <w:noProof/>
                <w:webHidden/>
              </w:rPr>
              <w:fldChar w:fldCharType="begin"/>
            </w:r>
            <w:r w:rsidR="001E3E7E">
              <w:rPr>
                <w:noProof/>
                <w:webHidden/>
              </w:rPr>
              <w:instrText xml:space="preserve"> PAGEREF _Toc9835496 \h </w:instrText>
            </w:r>
            <w:r w:rsidR="001E3E7E">
              <w:rPr>
                <w:noProof/>
                <w:webHidden/>
              </w:rPr>
            </w:r>
            <w:r w:rsidR="001E3E7E">
              <w:rPr>
                <w:noProof/>
                <w:webHidden/>
              </w:rPr>
              <w:fldChar w:fldCharType="separate"/>
            </w:r>
            <w:r w:rsidR="001E3E7E">
              <w:rPr>
                <w:noProof/>
                <w:webHidden/>
              </w:rPr>
              <w:t>6</w:t>
            </w:r>
            <w:r w:rsidR="001E3E7E">
              <w:rPr>
                <w:noProof/>
                <w:webHidden/>
              </w:rPr>
              <w:fldChar w:fldCharType="end"/>
            </w:r>
          </w:hyperlink>
        </w:p>
        <w:p w14:paraId="7BE64B6D" w14:textId="77777777" w:rsidR="001E3E7E" w:rsidRDefault="003D3649">
          <w:pPr>
            <w:pStyle w:val="INNH1"/>
            <w:tabs>
              <w:tab w:val="left" w:pos="660"/>
              <w:tab w:val="right" w:leader="dot" w:pos="9062"/>
            </w:tabs>
            <w:rPr>
              <w:rFonts w:eastAsiaTheme="minorEastAsia"/>
              <w:noProof/>
              <w:lang w:eastAsia="nb-NO"/>
            </w:rPr>
          </w:pPr>
          <w:hyperlink w:anchor="_Toc9835497" w:history="1">
            <w:r w:rsidR="001E3E7E" w:rsidRPr="00BF6E93">
              <w:rPr>
                <w:rStyle w:val="Hyperkobling"/>
                <w:rFonts w:eastAsia="Times New Roman" w:cstheme="majorHAnsi"/>
                <w:noProof/>
                <w:lang w:eastAsia="nb-NO"/>
              </w:rPr>
              <w:t>3.3.</w:t>
            </w:r>
            <w:r w:rsidR="001E3E7E">
              <w:rPr>
                <w:rFonts w:eastAsiaTheme="minorEastAsia"/>
                <w:noProof/>
                <w:lang w:eastAsia="nb-NO"/>
              </w:rPr>
              <w:tab/>
            </w:r>
            <w:r w:rsidR="001E3E7E" w:rsidRPr="00BF6E93">
              <w:rPr>
                <w:rStyle w:val="Hyperkobling"/>
                <w:rFonts w:eastAsia="Times New Roman" w:cstheme="majorHAnsi"/>
                <w:noProof/>
                <w:lang w:eastAsia="nb-NO"/>
              </w:rPr>
              <w:t>«Standarder og kriterier»</w:t>
            </w:r>
            <w:r w:rsidR="001E3E7E">
              <w:rPr>
                <w:noProof/>
                <w:webHidden/>
              </w:rPr>
              <w:tab/>
            </w:r>
            <w:r w:rsidR="001E3E7E">
              <w:rPr>
                <w:noProof/>
                <w:webHidden/>
              </w:rPr>
              <w:fldChar w:fldCharType="begin"/>
            </w:r>
            <w:r w:rsidR="001E3E7E">
              <w:rPr>
                <w:noProof/>
                <w:webHidden/>
              </w:rPr>
              <w:instrText xml:space="preserve"> PAGEREF _Toc9835497 \h </w:instrText>
            </w:r>
            <w:r w:rsidR="001E3E7E">
              <w:rPr>
                <w:noProof/>
                <w:webHidden/>
              </w:rPr>
            </w:r>
            <w:r w:rsidR="001E3E7E">
              <w:rPr>
                <w:noProof/>
                <w:webHidden/>
              </w:rPr>
              <w:fldChar w:fldCharType="separate"/>
            </w:r>
            <w:r w:rsidR="001E3E7E">
              <w:rPr>
                <w:noProof/>
                <w:webHidden/>
              </w:rPr>
              <w:t>8</w:t>
            </w:r>
            <w:r w:rsidR="001E3E7E">
              <w:rPr>
                <w:noProof/>
                <w:webHidden/>
              </w:rPr>
              <w:fldChar w:fldCharType="end"/>
            </w:r>
          </w:hyperlink>
        </w:p>
        <w:p w14:paraId="59257631" w14:textId="3E7B9AEB" w:rsidR="00080996" w:rsidRPr="00C405F9" w:rsidRDefault="00080996" w:rsidP="00C405F9">
          <w:pPr>
            <w:spacing w:after="0"/>
            <w:rPr>
              <w:rFonts w:asciiTheme="majorHAnsi" w:hAnsiTheme="majorHAnsi" w:cstheme="majorHAnsi"/>
            </w:rPr>
          </w:pPr>
          <w:r w:rsidRPr="00C405F9">
            <w:rPr>
              <w:rFonts w:asciiTheme="majorHAnsi" w:hAnsiTheme="majorHAnsi" w:cstheme="majorHAnsi"/>
              <w:b/>
              <w:bCs/>
            </w:rPr>
            <w:fldChar w:fldCharType="end"/>
          </w:r>
        </w:p>
      </w:sdtContent>
    </w:sdt>
    <w:p w14:paraId="6CE95FE5" w14:textId="1F04F5D0" w:rsidR="00915131" w:rsidRPr="00C405F9" w:rsidRDefault="00915131" w:rsidP="00C405F9">
      <w:pPr>
        <w:pStyle w:val="Overskrift1"/>
        <w:numPr>
          <w:ilvl w:val="0"/>
          <w:numId w:val="2"/>
        </w:numPr>
        <w:rPr>
          <w:rFonts w:eastAsia="Times New Roman" w:cstheme="majorHAnsi"/>
          <w:sz w:val="22"/>
          <w:szCs w:val="22"/>
          <w:lang w:eastAsia="nb-NO"/>
        </w:rPr>
      </w:pPr>
      <w:bookmarkStart w:id="1" w:name="_Toc9835488"/>
      <w:r w:rsidRPr="00C405F9">
        <w:rPr>
          <w:rFonts w:eastAsia="Times New Roman" w:cstheme="majorHAnsi"/>
          <w:sz w:val="22"/>
          <w:szCs w:val="22"/>
          <w:lang w:eastAsia="nb-NO"/>
        </w:rPr>
        <w:t>Innledning</w:t>
      </w:r>
      <w:bookmarkEnd w:id="1"/>
      <w:r w:rsidRPr="00C405F9">
        <w:rPr>
          <w:rFonts w:eastAsia="Times New Roman" w:cstheme="majorHAnsi"/>
          <w:sz w:val="22"/>
          <w:szCs w:val="22"/>
          <w:lang w:eastAsia="nb-NO"/>
        </w:rPr>
        <w:t xml:space="preserve"> </w:t>
      </w:r>
    </w:p>
    <w:p w14:paraId="3824829B" w14:textId="52C88300" w:rsidR="00180C99" w:rsidRDefault="00CE1F59" w:rsidP="00C405F9">
      <w:pPr>
        <w:spacing w:after="0" w:line="330" w:lineRule="atLeast"/>
        <w:textAlignment w:val="center"/>
        <w:rPr>
          <w:rFonts w:asciiTheme="majorHAnsi" w:eastAsia="Times New Roman" w:hAnsiTheme="majorHAnsi" w:cstheme="majorHAnsi"/>
          <w:color w:val="333333"/>
          <w:lang w:eastAsia="nb-NO"/>
        </w:rPr>
      </w:pPr>
      <w:r>
        <w:rPr>
          <w:rFonts w:asciiTheme="majorHAnsi" w:eastAsia="Times New Roman" w:hAnsiTheme="majorHAnsi" w:cstheme="majorHAnsi"/>
          <w:color w:val="333333"/>
          <w:lang w:eastAsia="nb-NO"/>
        </w:rPr>
        <w:t xml:space="preserve">Formålet med dette notatet er å er gi </w:t>
      </w:r>
      <w:r w:rsidR="00F822DC" w:rsidRPr="00C405F9">
        <w:rPr>
          <w:rFonts w:asciiTheme="majorHAnsi" w:eastAsia="Times New Roman" w:hAnsiTheme="majorHAnsi" w:cstheme="majorHAnsi"/>
          <w:color w:val="333333"/>
          <w:lang w:eastAsia="nb-NO"/>
        </w:rPr>
        <w:t>universitets- og høyskolelovutvalget</w:t>
      </w:r>
      <w:r w:rsidR="00A018B9">
        <w:rPr>
          <w:rFonts w:asciiTheme="majorHAnsi" w:eastAsia="Times New Roman" w:hAnsiTheme="majorHAnsi" w:cstheme="majorHAnsi"/>
          <w:color w:val="333333"/>
          <w:lang w:eastAsia="nb-NO"/>
        </w:rPr>
        <w:t>,</w:t>
      </w:r>
      <w:r>
        <w:rPr>
          <w:rFonts w:asciiTheme="majorHAnsi" w:eastAsia="Times New Roman" w:hAnsiTheme="majorHAnsi" w:cstheme="majorHAnsi"/>
          <w:color w:val="333333"/>
          <w:lang w:eastAsia="nb-NO"/>
        </w:rPr>
        <w:t xml:space="preserve"> som ble oppnevnt av Kunnskapsdepartementet</w:t>
      </w:r>
      <w:r w:rsidR="005A45E1">
        <w:rPr>
          <w:rFonts w:asciiTheme="majorHAnsi" w:eastAsia="Times New Roman" w:hAnsiTheme="majorHAnsi" w:cstheme="majorHAnsi"/>
          <w:color w:val="333333"/>
          <w:lang w:eastAsia="nb-NO"/>
        </w:rPr>
        <w:t xml:space="preserve"> 22. juni 2018</w:t>
      </w:r>
      <w:r w:rsidR="00F76B2F">
        <w:rPr>
          <w:rFonts w:asciiTheme="majorHAnsi" w:eastAsia="Times New Roman" w:hAnsiTheme="majorHAnsi" w:cstheme="majorHAnsi"/>
          <w:color w:val="333333"/>
          <w:lang w:eastAsia="nb-NO"/>
        </w:rPr>
        <w:t>, et innspill knyttet til</w:t>
      </w:r>
      <w:r w:rsidR="00A018B9">
        <w:rPr>
          <w:rFonts w:asciiTheme="majorHAnsi" w:eastAsia="Times New Roman" w:hAnsiTheme="majorHAnsi" w:cstheme="majorHAnsi"/>
          <w:color w:val="333333"/>
          <w:lang w:eastAsia="nb-NO"/>
        </w:rPr>
        <w:t xml:space="preserve"> </w:t>
      </w:r>
      <w:r w:rsidR="00A018B9" w:rsidRPr="00840DB6">
        <w:rPr>
          <w:rFonts w:asciiTheme="majorHAnsi" w:eastAsia="Times New Roman" w:hAnsiTheme="majorHAnsi" w:cstheme="majorHAnsi"/>
          <w:color w:val="333333"/>
          <w:lang w:eastAsia="nb-NO"/>
        </w:rPr>
        <w:t>universitets- og h</w:t>
      </w:r>
      <w:r w:rsidR="00A018B9">
        <w:rPr>
          <w:rFonts w:asciiTheme="majorHAnsi" w:eastAsia="Times New Roman" w:hAnsiTheme="majorHAnsi" w:cstheme="majorHAnsi"/>
          <w:color w:val="333333"/>
          <w:lang w:eastAsia="nb-NO"/>
        </w:rPr>
        <w:t>øyskoleloven</w:t>
      </w:r>
      <w:r w:rsidR="003F7E7E">
        <w:rPr>
          <w:rStyle w:val="Fotnotereferanse"/>
          <w:rFonts w:asciiTheme="majorHAnsi" w:eastAsia="Times New Roman" w:hAnsiTheme="majorHAnsi" w:cstheme="majorHAnsi"/>
          <w:color w:val="333333"/>
          <w:lang w:eastAsia="nb-NO"/>
        </w:rPr>
        <w:footnoteReference w:id="1"/>
      </w:r>
      <w:r w:rsidR="00A018B9">
        <w:rPr>
          <w:rFonts w:asciiTheme="majorHAnsi" w:eastAsia="Times New Roman" w:hAnsiTheme="majorHAnsi" w:cstheme="majorHAnsi"/>
          <w:color w:val="333333"/>
          <w:lang w:eastAsia="nb-NO"/>
        </w:rPr>
        <w:t xml:space="preserve"> (uhl.) § 2-1</w:t>
      </w:r>
      <w:r w:rsidR="005A45E1">
        <w:rPr>
          <w:rFonts w:asciiTheme="majorHAnsi" w:eastAsia="Times New Roman" w:hAnsiTheme="majorHAnsi" w:cstheme="majorHAnsi"/>
          <w:color w:val="333333"/>
          <w:lang w:eastAsia="nb-NO"/>
        </w:rPr>
        <w:t xml:space="preserve">. </w:t>
      </w:r>
    </w:p>
    <w:p w14:paraId="5A4DE804" w14:textId="77777777" w:rsidR="00180C99" w:rsidRDefault="00180C99" w:rsidP="00C405F9">
      <w:pPr>
        <w:spacing w:after="0" w:line="330" w:lineRule="atLeast"/>
        <w:textAlignment w:val="center"/>
        <w:rPr>
          <w:rFonts w:asciiTheme="majorHAnsi" w:eastAsia="Times New Roman" w:hAnsiTheme="majorHAnsi" w:cstheme="majorHAnsi"/>
          <w:color w:val="333333"/>
          <w:lang w:eastAsia="nb-NO"/>
        </w:rPr>
      </w:pPr>
    </w:p>
    <w:p w14:paraId="5FB9C98A" w14:textId="6C3D20C8" w:rsidR="005947C5" w:rsidRDefault="001A7CCC" w:rsidP="004233A8">
      <w:pPr>
        <w:spacing w:after="0" w:line="330" w:lineRule="atLeast"/>
        <w:textAlignment w:val="center"/>
        <w:rPr>
          <w:rFonts w:asciiTheme="majorHAnsi" w:eastAsia="Times New Roman" w:hAnsiTheme="majorHAnsi" w:cstheme="majorHAnsi"/>
          <w:color w:val="333333"/>
          <w:lang w:eastAsia="nb-NO"/>
        </w:rPr>
      </w:pPr>
      <w:r>
        <w:rPr>
          <w:rFonts w:asciiTheme="majorHAnsi" w:eastAsia="Times New Roman" w:hAnsiTheme="majorHAnsi" w:cstheme="majorHAnsi"/>
          <w:color w:val="333333"/>
          <w:lang w:eastAsia="nb-NO"/>
        </w:rPr>
        <w:t xml:space="preserve">Overordnet </w:t>
      </w:r>
      <w:r w:rsidR="004233A8" w:rsidRPr="00E04033">
        <w:rPr>
          <w:rFonts w:asciiTheme="majorHAnsi" w:eastAsia="Times New Roman" w:hAnsiTheme="majorHAnsi" w:cstheme="majorHAnsi"/>
          <w:color w:val="333333"/>
          <w:lang w:eastAsia="nb-NO"/>
        </w:rPr>
        <w:t>ønsker NO</w:t>
      </w:r>
      <w:r w:rsidR="00C5015E">
        <w:rPr>
          <w:rFonts w:asciiTheme="majorHAnsi" w:eastAsia="Times New Roman" w:hAnsiTheme="majorHAnsi" w:cstheme="majorHAnsi"/>
          <w:color w:val="333333"/>
          <w:lang w:eastAsia="nb-NO"/>
        </w:rPr>
        <w:t>KUT at det i forbindelse med Universitets- og høyskoleu</w:t>
      </w:r>
      <w:r w:rsidR="004233A8" w:rsidRPr="00E04033">
        <w:rPr>
          <w:rFonts w:asciiTheme="majorHAnsi" w:eastAsia="Times New Roman" w:hAnsiTheme="majorHAnsi" w:cstheme="majorHAnsi"/>
          <w:color w:val="333333"/>
          <w:lang w:eastAsia="nb-NO"/>
        </w:rPr>
        <w:t xml:space="preserve">tvalgets arbeid rettes fokus </w:t>
      </w:r>
      <w:r w:rsidR="00657183">
        <w:rPr>
          <w:rFonts w:asciiTheme="majorHAnsi" w:eastAsia="Times New Roman" w:hAnsiTheme="majorHAnsi" w:cstheme="majorHAnsi"/>
          <w:color w:val="333333"/>
          <w:lang w:eastAsia="nb-NO"/>
        </w:rPr>
        <w:t xml:space="preserve">mot </w:t>
      </w:r>
      <w:r w:rsidR="004233A8" w:rsidRPr="00E04033">
        <w:rPr>
          <w:rFonts w:asciiTheme="majorHAnsi" w:eastAsia="Times New Roman" w:hAnsiTheme="majorHAnsi" w:cstheme="majorHAnsi"/>
          <w:color w:val="333333"/>
          <w:lang w:eastAsia="nb-NO"/>
        </w:rPr>
        <w:t>behov</w:t>
      </w:r>
      <w:r w:rsidR="00657183">
        <w:rPr>
          <w:rFonts w:asciiTheme="majorHAnsi" w:eastAsia="Times New Roman" w:hAnsiTheme="majorHAnsi" w:cstheme="majorHAnsi"/>
          <w:color w:val="333333"/>
          <w:lang w:eastAsia="nb-NO"/>
        </w:rPr>
        <w:t>et</w:t>
      </w:r>
      <w:r w:rsidR="004233A8" w:rsidRPr="00E04033">
        <w:rPr>
          <w:rFonts w:asciiTheme="majorHAnsi" w:eastAsia="Times New Roman" w:hAnsiTheme="majorHAnsi" w:cstheme="majorHAnsi"/>
          <w:color w:val="333333"/>
          <w:lang w:eastAsia="nb-NO"/>
        </w:rPr>
        <w:t xml:space="preserve"> for</w:t>
      </w:r>
      <w:r>
        <w:rPr>
          <w:rFonts w:asciiTheme="majorHAnsi" w:eastAsia="Times New Roman" w:hAnsiTheme="majorHAnsi" w:cstheme="majorHAnsi"/>
          <w:color w:val="333333"/>
          <w:lang w:eastAsia="nb-NO"/>
        </w:rPr>
        <w:t xml:space="preserve"> en</w:t>
      </w:r>
      <w:r w:rsidR="004233A8" w:rsidRPr="00E04033">
        <w:rPr>
          <w:rFonts w:asciiTheme="majorHAnsi" w:eastAsia="Times New Roman" w:hAnsiTheme="majorHAnsi" w:cstheme="majorHAnsi"/>
          <w:color w:val="333333"/>
          <w:lang w:eastAsia="nb-NO"/>
        </w:rPr>
        <w:t xml:space="preserve"> opprydning i </w:t>
      </w:r>
      <w:r w:rsidR="00117F9F" w:rsidRPr="00E04033">
        <w:rPr>
          <w:rFonts w:asciiTheme="majorHAnsi" w:eastAsia="Times New Roman" w:hAnsiTheme="majorHAnsi" w:cstheme="majorHAnsi"/>
          <w:color w:val="333333"/>
          <w:lang w:eastAsia="nb-NO"/>
        </w:rPr>
        <w:t xml:space="preserve">struktur </w:t>
      </w:r>
      <w:r w:rsidR="004233A8" w:rsidRPr="00E04033">
        <w:rPr>
          <w:rFonts w:asciiTheme="majorHAnsi" w:eastAsia="Times New Roman" w:hAnsiTheme="majorHAnsi" w:cstheme="majorHAnsi"/>
          <w:color w:val="333333"/>
          <w:lang w:eastAsia="nb-NO"/>
        </w:rPr>
        <w:t xml:space="preserve">og </w:t>
      </w:r>
      <w:r w:rsidR="00117F9F" w:rsidRPr="00E04033">
        <w:rPr>
          <w:rFonts w:asciiTheme="majorHAnsi" w:eastAsia="Times New Roman" w:hAnsiTheme="majorHAnsi" w:cstheme="majorHAnsi"/>
          <w:color w:val="333333"/>
          <w:lang w:eastAsia="nb-NO"/>
        </w:rPr>
        <w:t xml:space="preserve">terminologi </w:t>
      </w:r>
      <w:r w:rsidR="004233A8" w:rsidRPr="00E04033">
        <w:rPr>
          <w:rFonts w:asciiTheme="majorHAnsi" w:eastAsia="Times New Roman" w:hAnsiTheme="majorHAnsi" w:cstheme="majorHAnsi"/>
          <w:color w:val="333333"/>
          <w:lang w:eastAsia="nb-NO"/>
        </w:rPr>
        <w:t>i</w:t>
      </w:r>
      <w:r w:rsidR="00BA6F0F">
        <w:rPr>
          <w:rFonts w:asciiTheme="majorHAnsi" w:eastAsia="Times New Roman" w:hAnsiTheme="majorHAnsi" w:cstheme="majorHAnsi"/>
          <w:color w:val="333333"/>
          <w:lang w:eastAsia="nb-NO"/>
        </w:rPr>
        <w:t xml:space="preserve"> uhl. § 2-1</w:t>
      </w:r>
      <w:r w:rsidR="004233A8" w:rsidRPr="00E04033">
        <w:rPr>
          <w:rFonts w:asciiTheme="majorHAnsi" w:eastAsia="Times New Roman" w:hAnsiTheme="majorHAnsi" w:cstheme="majorHAnsi"/>
          <w:color w:val="333333"/>
          <w:lang w:eastAsia="nb-NO"/>
        </w:rPr>
        <w:t xml:space="preserve">. </w:t>
      </w:r>
      <w:r w:rsidR="00117F9F">
        <w:rPr>
          <w:rFonts w:asciiTheme="majorHAnsi" w:eastAsia="Times New Roman" w:hAnsiTheme="majorHAnsi" w:cstheme="majorHAnsi"/>
          <w:color w:val="333333"/>
          <w:lang w:eastAsia="nb-NO"/>
        </w:rPr>
        <w:t xml:space="preserve">Bestemmelsen </w:t>
      </w:r>
      <w:r w:rsidR="004233A8" w:rsidRPr="00E04033">
        <w:rPr>
          <w:rFonts w:asciiTheme="majorHAnsi" w:eastAsia="Times New Roman" w:hAnsiTheme="majorHAnsi" w:cstheme="majorHAnsi"/>
          <w:color w:val="333333"/>
          <w:lang w:eastAsia="nb-NO"/>
        </w:rPr>
        <w:t>har blitt ut</w:t>
      </w:r>
      <w:r w:rsidR="005947C5">
        <w:rPr>
          <w:rFonts w:asciiTheme="majorHAnsi" w:eastAsia="Times New Roman" w:hAnsiTheme="majorHAnsi" w:cstheme="majorHAnsi"/>
          <w:color w:val="333333"/>
          <w:lang w:eastAsia="nb-NO"/>
        </w:rPr>
        <w:t xml:space="preserve">viklet over tid, og </w:t>
      </w:r>
      <w:r w:rsidR="004233A8" w:rsidRPr="00E04033">
        <w:rPr>
          <w:rFonts w:asciiTheme="majorHAnsi" w:eastAsia="Times New Roman" w:hAnsiTheme="majorHAnsi" w:cstheme="majorHAnsi"/>
          <w:color w:val="333333"/>
          <w:lang w:eastAsia="nb-NO"/>
        </w:rPr>
        <w:t xml:space="preserve">kan </w:t>
      </w:r>
      <w:r w:rsidR="007F1C86">
        <w:rPr>
          <w:rFonts w:asciiTheme="majorHAnsi" w:eastAsia="Times New Roman" w:hAnsiTheme="majorHAnsi" w:cstheme="majorHAnsi"/>
          <w:color w:val="333333"/>
          <w:lang w:eastAsia="nb-NO"/>
        </w:rPr>
        <w:t xml:space="preserve">med fordel </w:t>
      </w:r>
      <w:r w:rsidR="004233A8" w:rsidRPr="00E04033">
        <w:rPr>
          <w:rFonts w:asciiTheme="majorHAnsi" w:eastAsia="Times New Roman" w:hAnsiTheme="majorHAnsi" w:cstheme="majorHAnsi"/>
          <w:color w:val="333333"/>
          <w:lang w:eastAsia="nb-NO"/>
        </w:rPr>
        <w:t>klarg</w:t>
      </w:r>
      <w:r w:rsidR="004233A8">
        <w:rPr>
          <w:rFonts w:asciiTheme="majorHAnsi" w:eastAsia="Times New Roman" w:hAnsiTheme="majorHAnsi" w:cstheme="majorHAnsi"/>
          <w:color w:val="333333"/>
          <w:lang w:eastAsia="nb-NO"/>
        </w:rPr>
        <w:t xml:space="preserve">jøres. </w:t>
      </w:r>
    </w:p>
    <w:p w14:paraId="3E540897" w14:textId="77777777" w:rsidR="005947C5" w:rsidRDefault="005947C5" w:rsidP="004233A8">
      <w:pPr>
        <w:spacing w:after="0" w:line="330" w:lineRule="atLeast"/>
        <w:textAlignment w:val="center"/>
        <w:rPr>
          <w:rFonts w:asciiTheme="majorHAnsi" w:eastAsia="Times New Roman" w:hAnsiTheme="majorHAnsi" w:cstheme="majorHAnsi"/>
          <w:color w:val="333333"/>
          <w:lang w:eastAsia="nb-NO"/>
        </w:rPr>
      </w:pPr>
    </w:p>
    <w:p w14:paraId="2EB3F6BE" w14:textId="77FC0CDA" w:rsidR="006C383A" w:rsidRDefault="006C383A" w:rsidP="004233A8">
      <w:pPr>
        <w:spacing w:after="0" w:line="330" w:lineRule="atLeast"/>
        <w:textAlignment w:val="center"/>
        <w:rPr>
          <w:rFonts w:asciiTheme="majorHAnsi" w:eastAsia="Times New Roman" w:hAnsiTheme="majorHAnsi" w:cstheme="majorHAnsi"/>
          <w:color w:val="333333"/>
          <w:lang w:eastAsia="nb-NO"/>
        </w:rPr>
      </w:pPr>
      <w:r>
        <w:rPr>
          <w:rFonts w:asciiTheme="majorHAnsi" w:eastAsia="Times New Roman" w:hAnsiTheme="majorHAnsi" w:cstheme="majorHAnsi"/>
          <w:color w:val="333333"/>
          <w:lang w:eastAsia="nb-NO"/>
        </w:rPr>
        <w:t>NOKUT</w:t>
      </w:r>
      <w:r w:rsidRPr="006C383A">
        <w:rPr>
          <w:rFonts w:asciiTheme="majorHAnsi" w:eastAsia="Times New Roman" w:hAnsiTheme="majorHAnsi" w:cstheme="majorHAnsi"/>
          <w:color w:val="333333"/>
          <w:lang w:eastAsia="nb-NO"/>
        </w:rPr>
        <w:t xml:space="preserve"> legger </w:t>
      </w:r>
      <w:r>
        <w:rPr>
          <w:rFonts w:asciiTheme="majorHAnsi" w:eastAsia="Times New Roman" w:hAnsiTheme="majorHAnsi" w:cstheme="majorHAnsi"/>
          <w:color w:val="333333"/>
          <w:lang w:eastAsia="nb-NO"/>
        </w:rPr>
        <w:t xml:space="preserve">for øvrig </w:t>
      </w:r>
      <w:r w:rsidRPr="006C383A">
        <w:rPr>
          <w:rFonts w:asciiTheme="majorHAnsi" w:eastAsia="Times New Roman" w:hAnsiTheme="majorHAnsi" w:cstheme="majorHAnsi"/>
          <w:color w:val="333333"/>
          <w:lang w:eastAsia="nb-NO"/>
        </w:rPr>
        <w:t xml:space="preserve">til grunn at reguleringen av NOKUT videreføres. </w:t>
      </w:r>
      <w:r w:rsidR="002D329E" w:rsidRPr="009D6289">
        <w:rPr>
          <w:rFonts w:asciiTheme="majorHAnsi" w:eastAsia="Times New Roman" w:hAnsiTheme="majorHAnsi" w:cstheme="majorHAnsi"/>
          <w:color w:val="333333"/>
          <w:lang w:eastAsia="nb-NO"/>
        </w:rPr>
        <w:t xml:space="preserve">NOKUTs faglige uavhengighet i sentrale oppgaver fastslås </w:t>
      </w:r>
      <w:r w:rsidR="002D329E">
        <w:rPr>
          <w:rFonts w:asciiTheme="majorHAnsi" w:eastAsia="Times New Roman" w:hAnsiTheme="majorHAnsi" w:cstheme="majorHAnsi"/>
          <w:color w:val="333333"/>
          <w:lang w:eastAsia="nb-NO"/>
        </w:rPr>
        <w:t>i dag i</w:t>
      </w:r>
      <w:r w:rsidR="002D329E" w:rsidRPr="009D6289">
        <w:rPr>
          <w:rFonts w:asciiTheme="majorHAnsi" w:eastAsia="Times New Roman" w:hAnsiTheme="majorHAnsi" w:cstheme="majorHAnsi"/>
          <w:color w:val="333333"/>
          <w:lang w:eastAsia="nb-NO"/>
        </w:rPr>
        <w:t xml:space="preserve"> loven, og denne uavhengigheten er dermed direkte forankret i Stortinget.</w:t>
      </w:r>
      <w:r w:rsidR="002D329E">
        <w:rPr>
          <w:rFonts w:asciiTheme="majorHAnsi" w:eastAsia="Times New Roman" w:hAnsiTheme="majorHAnsi" w:cstheme="majorHAnsi"/>
          <w:color w:val="333333"/>
          <w:lang w:eastAsia="nb-NO"/>
        </w:rPr>
        <w:t xml:space="preserve"> </w:t>
      </w:r>
      <w:r w:rsidRPr="006C383A">
        <w:rPr>
          <w:rFonts w:asciiTheme="majorHAnsi" w:eastAsia="Times New Roman" w:hAnsiTheme="majorHAnsi" w:cstheme="majorHAnsi"/>
          <w:color w:val="333333"/>
          <w:lang w:eastAsia="nb-NO"/>
        </w:rPr>
        <w:t>Denne reguleringen er viktig i forhold til dynamikken mellom autonome universiteter og høyskoler og Kunnskapsdepartementet som politisk aktør – der NOKUT so</w:t>
      </w:r>
      <w:r>
        <w:rPr>
          <w:rFonts w:asciiTheme="majorHAnsi" w:eastAsia="Times New Roman" w:hAnsiTheme="majorHAnsi" w:cstheme="majorHAnsi"/>
          <w:color w:val="333333"/>
          <w:lang w:eastAsia="nb-NO"/>
        </w:rPr>
        <w:t xml:space="preserve">m et faglig uavhengig organ er </w:t>
      </w:r>
      <w:r w:rsidR="001B38F0">
        <w:rPr>
          <w:rFonts w:asciiTheme="majorHAnsi" w:eastAsia="Times New Roman" w:hAnsiTheme="majorHAnsi" w:cstheme="majorHAnsi"/>
          <w:color w:val="333333"/>
          <w:lang w:eastAsia="nb-NO"/>
        </w:rPr>
        <w:t>garant</w:t>
      </w:r>
      <w:r w:rsidRPr="006C383A">
        <w:rPr>
          <w:rFonts w:asciiTheme="majorHAnsi" w:eastAsia="Times New Roman" w:hAnsiTheme="majorHAnsi" w:cstheme="majorHAnsi"/>
          <w:color w:val="333333"/>
          <w:lang w:eastAsia="nb-NO"/>
        </w:rPr>
        <w:t>en for at tilsynet med kvaliteten i utdanningene ikke påvirkes av politiske føringer og trender.</w:t>
      </w:r>
      <w:r w:rsidR="009D6289">
        <w:rPr>
          <w:rFonts w:asciiTheme="majorHAnsi" w:eastAsia="Times New Roman" w:hAnsiTheme="majorHAnsi" w:cstheme="majorHAnsi"/>
          <w:color w:val="333333"/>
          <w:lang w:eastAsia="nb-NO"/>
        </w:rPr>
        <w:t xml:space="preserve"> </w:t>
      </w:r>
    </w:p>
    <w:p w14:paraId="52D934FC" w14:textId="77777777" w:rsidR="006C383A" w:rsidRDefault="006C383A" w:rsidP="004233A8">
      <w:pPr>
        <w:spacing w:after="0" w:line="330" w:lineRule="atLeast"/>
        <w:textAlignment w:val="center"/>
        <w:rPr>
          <w:rFonts w:asciiTheme="majorHAnsi" w:eastAsia="Times New Roman" w:hAnsiTheme="majorHAnsi" w:cstheme="majorHAnsi"/>
          <w:color w:val="333333"/>
          <w:lang w:eastAsia="nb-NO"/>
        </w:rPr>
      </w:pPr>
    </w:p>
    <w:p w14:paraId="311E8D7E" w14:textId="77777777" w:rsidR="001B38F0" w:rsidRDefault="00840DB6" w:rsidP="001B38F0">
      <w:r>
        <w:rPr>
          <w:rFonts w:asciiTheme="majorHAnsi" w:eastAsia="Times New Roman" w:hAnsiTheme="majorHAnsi" w:cstheme="majorHAnsi"/>
          <w:color w:val="333333"/>
          <w:lang w:eastAsia="nb-NO"/>
        </w:rPr>
        <w:t xml:space="preserve">I det følgende pekes det </w:t>
      </w:r>
      <w:r w:rsidR="00E0087C">
        <w:rPr>
          <w:rFonts w:asciiTheme="majorHAnsi" w:eastAsia="Times New Roman" w:hAnsiTheme="majorHAnsi" w:cstheme="majorHAnsi"/>
          <w:color w:val="333333"/>
          <w:lang w:eastAsia="nb-NO"/>
        </w:rPr>
        <w:t xml:space="preserve">på noen </w:t>
      </w:r>
      <w:r w:rsidR="000561E3">
        <w:rPr>
          <w:rFonts w:asciiTheme="majorHAnsi" w:eastAsia="Times New Roman" w:hAnsiTheme="majorHAnsi" w:cstheme="majorHAnsi"/>
          <w:color w:val="333333"/>
          <w:lang w:eastAsia="nb-NO"/>
        </w:rPr>
        <w:t xml:space="preserve">konkrete </w:t>
      </w:r>
      <w:r w:rsidR="00E0087C">
        <w:rPr>
          <w:rFonts w:asciiTheme="majorHAnsi" w:eastAsia="Times New Roman" w:hAnsiTheme="majorHAnsi" w:cstheme="majorHAnsi"/>
          <w:color w:val="333333"/>
          <w:lang w:eastAsia="nb-NO"/>
        </w:rPr>
        <w:t>utfordringer som NOKUT har merket seg</w:t>
      </w:r>
      <w:r w:rsidRPr="00840DB6">
        <w:rPr>
          <w:rFonts w:asciiTheme="majorHAnsi" w:eastAsia="Times New Roman" w:hAnsiTheme="majorHAnsi" w:cstheme="majorHAnsi"/>
          <w:color w:val="333333"/>
          <w:lang w:eastAsia="nb-NO"/>
        </w:rPr>
        <w:t xml:space="preserve"> knyttet til reguleringen av </w:t>
      </w:r>
      <w:r w:rsidR="00E0087C">
        <w:rPr>
          <w:rFonts w:asciiTheme="majorHAnsi" w:eastAsia="Times New Roman" w:hAnsiTheme="majorHAnsi" w:cstheme="majorHAnsi"/>
          <w:color w:val="333333"/>
          <w:lang w:eastAsia="nb-NO"/>
        </w:rPr>
        <w:t xml:space="preserve">organets </w:t>
      </w:r>
      <w:r>
        <w:rPr>
          <w:rFonts w:asciiTheme="majorHAnsi" w:eastAsia="Times New Roman" w:hAnsiTheme="majorHAnsi" w:cstheme="majorHAnsi"/>
          <w:color w:val="333333"/>
          <w:lang w:eastAsia="nb-NO"/>
        </w:rPr>
        <w:t xml:space="preserve">myndighet </w:t>
      </w:r>
      <w:r w:rsidR="00E0087C">
        <w:rPr>
          <w:rFonts w:asciiTheme="majorHAnsi" w:eastAsia="Times New Roman" w:hAnsiTheme="majorHAnsi" w:cstheme="majorHAnsi"/>
          <w:color w:val="333333"/>
          <w:lang w:eastAsia="nb-NO"/>
        </w:rPr>
        <w:t xml:space="preserve">og oppgaver </w:t>
      </w:r>
      <w:r>
        <w:rPr>
          <w:rFonts w:asciiTheme="majorHAnsi" w:eastAsia="Times New Roman" w:hAnsiTheme="majorHAnsi" w:cstheme="majorHAnsi"/>
          <w:color w:val="333333"/>
          <w:lang w:eastAsia="nb-NO"/>
        </w:rPr>
        <w:t xml:space="preserve">i </w:t>
      </w:r>
      <w:r w:rsidR="00F36CA6">
        <w:rPr>
          <w:rFonts w:asciiTheme="majorHAnsi" w:eastAsia="Times New Roman" w:hAnsiTheme="majorHAnsi" w:cstheme="majorHAnsi"/>
          <w:color w:val="333333"/>
          <w:lang w:eastAsia="nb-NO"/>
        </w:rPr>
        <w:t>uhl.</w:t>
      </w:r>
      <w:r w:rsidR="003F67AF">
        <w:rPr>
          <w:rFonts w:asciiTheme="majorHAnsi" w:eastAsia="Times New Roman" w:hAnsiTheme="majorHAnsi" w:cstheme="majorHAnsi"/>
          <w:color w:val="333333"/>
          <w:lang w:eastAsia="nb-NO"/>
        </w:rPr>
        <w:t xml:space="preserve"> </w:t>
      </w:r>
      <w:r>
        <w:rPr>
          <w:rFonts w:asciiTheme="majorHAnsi" w:eastAsia="Times New Roman" w:hAnsiTheme="majorHAnsi" w:cstheme="majorHAnsi"/>
          <w:color w:val="333333"/>
          <w:lang w:eastAsia="nb-NO"/>
        </w:rPr>
        <w:t>§ 2-1</w:t>
      </w:r>
      <w:r w:rsidRPr="00840DB6">
        <w:rPr>
          <w:rFonts w:asciiTheme="majorHAnsi" w:eastAsia="Times New Roman" w:hAnsiTheme="majorHAnsi" w:cstheme="majorHAnsi"/>
          <w:color w:val="333333"/>
          <w:lang w:eastAsia="nb-NO"/>
        </w:rPr>
        <w:t>.</w:t>
      </w:r>
      <w:r w:rsidR="00E25272">
        <w:rPr>
          <w:rFonts w:asciiTheme="majorHAnsi" w:eastAsia="Times New Roman" w:hAnsiTheme="majorHAnsi" w:cstheme="majorHAnsi"/>
          <w:color w:val="333333"/>
          <w:lang w:eastAsia="nb-NO"/>
        </w:rPr>
        <w:t xml:space="preserve"> </w:t>
      </w:r>
      <w:r w:rsidR="001B38F0" w:rsidRPr="00031E77">
        <w:rPr>
          <w:rFonts w:asciiTheme="majorHAnsi" w:hAnsiTheme="majorHAnsi" w:cstheme="majorHAnsi"/>
        </w:rPr>
        <w:t>Vårt hovedsynspunkt</w:t>
      </w:r>
      <w:r w:rsidR="001B38F0" w:rsidRPr="0036625F">
        <w:t xml:space="preserve"> </w:t>
      </w:r>
      <w:r w:rsidR="001B38F0" w:rsidRPr="00C41825">
        <w:rPr>
          <w:rFonts w:asciiTheme="majorHAnsi" w:hAnsiTheme="majorHAnsi" w:cstheme="majorHAnsi"/>
        </w:rPr>
        <w:t>er at</w:t>
      </w:r>
      <w:r w:rsidR="001B38F0" w:rsidRPr="0036625F">
        <w:t xml:space="preserve"> </w:t>
      </w:r>
    </w:p>
    <w:p w14:paraId="7C26E938" w14:textId="77777777" w:rsidR="001B38F0" w:rsidRPr="001E3E7E" w:rsidRDefault="001B38F0" w:rsidP="001B38F0">
      <w:pPr>
        <w:pStyle w:val="Listeavsnitt"/>
        <w:numPr>
          <w:ilvl w:val="0"/>
          <w:numId w:val="11"/>
        </w:numPr>
        <w:spacing w:after="0" w:line="240" w:lineRule="auto"/>
        <w:rPr>
          <w:rFonts w:asciiTheme="majorHAnsi" w:hAnsiTheme="majorHAnsi" w:cstheme="majorHAnsi"/>
        </w:rPr>
      </w:pPr>
      <w:r w:rsidRPr="001E3E7E">
        <w:rPr>
          <w:rFonts w:asciiTheme="majorHAnsi" w:hAnsiTheme="majorHAnsi" w:cstheme="majorHAnsi"/>
        </w:rPr>
        <w:t xml:space="preserve">det bør foretas en vurdering av hvorvidt reguleringen av NOKUTs uavhengighet bør tydeliggjøres, </w:t>
      </w:r>
    </w:p>
    <w:p w14:paraId="7BCE105C" w14:textId="52628961" w:rsidR="001B38F0" w:rsidRPr="001E3E7E" w:rsidRDefault="001B38F0" w:rsidP="001B38F0">
      <w:pPr>
        <w:pStyle w:val="Listeavsnitt"/>
        <w:numPr>
          <w:ilvl w:val="0"/>
          <w:numId w:val="11"/>
        </w:numPr>
        <w:spacing w:after="0" w:line="240" w:lineRule="auto"/>
        <w:rPr>
          <w:rFonts w:asciiTheme="majorHAnsi" w:hAnsiTheme="majorHAnsi" w:cstheme="majorHAnsi"/>
        </w:rPr>
      </w:pPr>
      <w:r w:rsidRPr="001E3E7E">
        <w:rPr>
          <w:rFonts w:asciiTheme="majorHAnsi" w:hAnsiTheme="majorHAnsi" w:cstheme="majorHAnsi"/>
        </w:rPr>
        <w:t>det bør foretas en klarere sorterin</w:t>
      </w:r>
      <w:r w:rsidR="00C64666">
        <w:rPr>
          <w:rFonts w:asciiTheme="majorHAnsi" w:hAnsiTheme="majorHAnsi" w:cstheme="majorHAnsi"/>
        </w:rPr>
        <w:t xml:space="preserve">g av NOKUTs formål og oppgaver og </w:t>
      </w:r>
    </w:p>
    <w:p w14:paraId="2B56A5EA" w14:textId="77777777" w:rsidR="001B38F0" w:rsidRPr="001E3E7E" w:rsidRDefault="001B38F0" w:rsidP="001B38F0">
      <w:pPr>
        <w:pStyle w:val="Listeavsnitt"/>
        <w:numPr>
          <w:ilvl w:val="0"/>
          <w:numId w:val="11"/>
        </w:numPr>
        <w:spacing w:after="0" w:line="240" w:lineRule="auto"/>
        <w:rPr>
          <w:rFonts w:asciiTheme="majorHAnsi" w:hAnsiTheme="majorHAnsi" w:cstheme="majorHAnsi"/>
        </w:rPr>
      </w:pPr>
      <w:r w:rsidRPr="001E3E7E">
        <w:rPr>
          <w:rFonts w:asciiTheme="majorHAnsi" w:hAnsiTheme="majorHAnsi" w:cstheme="majorHAnsi"/>
        </w:rPr>
        <w:lastRenderedPageBreak/>
        <w:t>den delte kompetansen mellom Kunnskapsdepartementet og NOKUT til å gi forskrift bør avskaffes.</w:t>
      </w:r>
    </w:p>
    <w:p w14:paraId="615A7AA5" w14:textId="09C3A1B0" w:rsidR="004233A8" w:rsidRDefault="004233A8" w:rsidP="004233A8">
      <w:pPr>
        <w:spacing w:after="0" w:line="330" w:lineRule="atLeast"/>
        <w:textAlignment w:val="center"/>
        <w:rPr>
          <w:rFonts w:asciiTheme="majorHAnsi" w:eastAsia="Times New Roman" w:hAnsiTheme="majorHAnsi" w:cstheme="majorHAnsi"/>
          <w:color w:val="333333"/>
          <w:lang w:eastAsia="nb-NO"/>
        </w:rPr>
      </w:pPr>
    </w:p>
    <w:p w14:paraId="598F695D" w14:textId="719785A2" w:rsidR="00E15ECC" w:rsidRDefault="00E25272" w:rsidP="00C405F9">
      <w:pPr>
        <w:spacing w:after="0" w:line="330" w:lineRule="atLeast"/>
        <w:textAlignment w:val="center"/>
        <w:rPr>
          <w:rFonts w:asciiTheme="majorHAnsi" w:eastAsia="Times New Roman" w:hAnsiTheme="majorHAnsi" w:cstheme="majorHAnsi"/>
          <w:color w:val="333333"/>
          <w:lang w:eastAsia="nb-NO"/>
        </w:rPr>
      </w:pPr>
      <w:r>
        <w:rPr>
          <w:rFonts w:asciiTheme="majorHAnsi" w:eastAsia="Times New Roman" w:hAnsiTheme="majorHAnsi" w:cstheme="majorHAnsi"/>
          <w:color w:val="333333"/>
          <w:lang w:eastAsia="nb-NO"/>
        </w:rPr>
        <w:t xml:space="preserve">Det tas for øvrig forbehold om at dette ikke er en uttømmende angivelse av </w:t>
      </w:r>
      <w:r w:rsidR="00465D56">
        <w:rPr>
          <w:rFonts w:asciiTheme="majorHAnsi" w:eastAsia="Times New Roman" w:hAnsiTheme="majorHAnsi" w:cstheme="majorHAnsi"/>
          <w:color w:val="333333"/>
          <w:lang w:eastAsia="nb-NO"/>
        </w:rPr>
        <w:t>potensielle</w:t>
      </w:r>
      <w:r w:rsidR="003F67AF">
        <w:rPr>
          <w:rFonts w:asciiTheme="majorHAnsi" w:eastAsia="Times New Roman" w:hAnsiTheme="majorHAnsi" w:cstheme="majorHAnsi"/>
          <w:color w:val="333333"/>
          <w:lang w:eastAsia="nb-NO"/>
        </w:rPr>
        <w:t xml:space="preserve"> </w:t>
      </w:r>
      <w:r w:rsidR="000034CC">
        <w:rPr>
          <w:rFonts w:asciiTheme="majorHAnsi" w:eastAsia="Times New Roman" w:hAnsiTheme="majorHAnsi" w:cstheme="majorHAnsi"/>
          <w:color w:val="333333"/>
          <w:lang w:eastAsia="nb-NO"/>
        </w:rPr>
        <w:t>utfordringer</w:t>
      </w:r>
      <w:r w:rsidR="005A6A51">
        <w:rPr>
          <w:rFonts w:asciiTheme="majorHAnsi" w:eastAsia="Times New Roman" w:hAnsiTheme="majorHAnsi" w:cstheme="majorHAnsi"/>
          <w:color w:val="333333"/>
          <w:lang w:eastAsia="nb-NO"/>
        </w:rPr>
        <w:t xml:space="preserve">, men </w:t>
      </w:r>
      <w:r w:rsidR="00211E10">
        <w:rPr>
          <w:rFonts w:asciiTheme="majorHAnsi" w:eastAsia="Times New Roman" w:hAnsiTheme="majorHAnsi" w:cstheme="majorHAnsi"/>
          <w:color w:val="333333"/>
          <w:lang w:eastAsia="nb-NO"/>
        </w:rPr>
        <w:t xml:space="preserve">en skisse av </w:t>
      </w:r>
      <w:r w:rsidR="000034CC">
        <w:rPr>
          <w:rFonts w:asciiTheme="majorHAnsi" w:eastAsia="Times New Roman" w:hAnsiTheme="majorHAnsi" w:cstheme="majorHAnsi"/>
          <w:color w:val="333333"/>
          <w:lang w:eastAsia="nb-NO"/>
        </w:rPr>
        <w:t>enkelte hovedproblemstillinger</w:t>
      </w:r>
      <w:r>
        <w:rPr>
          <w:rFonts w:asciiTheme="majorHAnsi" w:eastAsia="Times New Roman" w:hAnsiTheme="majorHAnsi" w:cstheme="majorHAnsi"/>
          <w:color w:val="333333"/>
          <w:lang w:eastAsia="nb-NO"/>
        </w:rPr>
        <w:t xml:space="preserve">. </w:t>
      </w:r>
      <w:r w:rsidR="00137A0C" w:rsidRPr="00137A0C">
        <w:rPr>
          <w:rFonts w:asciiTheme="majorHAnsi" w:eastAsia="Times New Roman" w:hAnsiTheme="majorHAnsi" w:cstheme="majorHAnsi"/>
          <w:color w:val="333333"/>
          <w:lang w:eastAsia="nb-NO"/>
        </w:rPr>
        <w:t xml:space="preserve">I det følgende er det ikke presentert et konkret forslag til ny lovtekst, men NOKUT </w:t>
      </w:r>
      <w:r w:rsidR="001A7CCC">
        <w:rPr>
          <w:rFonts w:asciiTheme="majorHAnsi" w:eastAsia="Times New Roman" w:hAnsiTheme="majorHAnsi" w:cstheme="majorHAnsi"/>
          <w:color w:val="333333"/>
          <w:lang w:eastAsia="nb-NO"/>
        </w:rPr>
        <w:t xml:space="preserve">kan eventuelt bistå </w:t>
      </w:r>
      <w:r w:rsidR="003D531B">
        <w:rPr>
          <w:rFonts w:asciiTheme="majorHAnsi" w:eastAsia="Times New Roman" w:hAnsiTheme="majorHAnsi" w:cstheme="majorHAnsi"/>
          <w:color w:val="333333"/>
          <w:lang w:eastAsia="nb-NO"/>
        </w:rPr>
        <w:t xml:space="preserve">med dette </w:t>
      </w:r>
      <w:r w:rsidR="00137A0C" w:rsidRPr="00137A0C">
        <w:rPr>
          <w:rFonts w:asciiTheme="majorHAnsi" w:eastAsia="Times New Roman" w:hAnsiTheme="majorHAnsi" w:cstheme="majorHAnsi"/>
          <w:color w:val="333333"/>
          <w:lang w:eastAsia="nb-NO"/>
        </w:rPr>
        <w:t xml:space="preserve">på et senere </w:t>
      </w:r>
      <w:r w:rsidR="0042317E">
        <w:rPr>
          <w:rFonts w:asciiTheme="majorHAnsi" w:eastAsia="Times New Roman" w:hAnsiTheme="majorHAnsi" w:cstheme="majorHAnsi"/>
          <w:color w:val="333333"/>
          <w:lang w:eastAsia="nb-NO"/>
        </w:rPr>
        <w:t>tidspunkt</w:t>
      </w:r>
      <w:r w:rsidR="00137A0C" w:rsidRPr="00137A0C">
        <w:rPr>
          <w:rFonts w:asciiTheme="majorHAnsi" w:eastAsia="Times New Roman" w:hAnsiTheme="majorHAnsi" w:cstheme="majorHAnsi"/>
          <w:color w:val="333333"/>
          <w:lang w:eastAsia="nb-NO"/>
        </w:rPr>
        <w:t xml:space="preserve"> </w:t>
      </w:r>
      <w:r w:rsidR="009053D1">
        <w:rPr>
          <w:rFonts w:asciiTheme="majorHAnsi" w:eastAsia="Times New Roman" w:hAnsiTheme="majorHAnsi" w:cstheme="majorHAnsi"/>
          <w:color w:val="333333"/>
          <w:lang w:eastAsia="nb-NO"/>
        </w:rPr>
        <w:t>dersom det er ønskelig</w:t>
      </w:r>
      <w:r w:rsidR="00137A0C" w:rsidRPr="00137A0C">
        <w:rPr>
          <w:rFonts w:asciiTheme="majorHAnsi" w:eastAsia="Times New Roman" w:hAnsiTheme="majorHAnsi" w:cstheme="majorHAnsi"/>
          <w:color w:val="333333"/>
          <w:lang w:eastAsia="nb-NO"/>
        </w:rPr>
        <w:t>.</w:t>
      </w:r>
    </w:p>
    <w:p w14:paraId="497CF969" w14:textId="77777777" w:rsidR="00E15ECC" w:rsidRDefault="00E15ECC" w:rsidP="00C405F9">
      <w:pPr>
        <w:spacing w:after="0" w:line="330" w:lineRule="atLeast"/>
        <w:textAlignment w:val="center"/>
        <w:rPr>
          <w:rFonts w:asciiTheme="majorHAnsi" w:eastAsia="Times New Roman" w:hAnsiTheme="majorHAnsi" w:cstheme="majorHAnsi"/>
          <w:color w:val="333333"/>
          <w:lang w:eastAsia="nb-NO"/>
        </w:rPr>
      </w:pPr>
    </w:p>
    <w:p w14:paraId="5A99A6B3" w14:textId="0C1FAF15" w:rsidR="00840DB6" w:rsidRDefault="00FF5AA4" w:rsidP="00C405F9">
      <w:pPr>
        <w:spacing w:after="0" w:line="330" w:lineRule="atLeast"/>
        <w:textAlignment w:val="center"/>
        <w:rPr>
          <w:rFonts w:asciiTheme="majorHAnsi" w:eastAsia="Times New Roman" w:hAnsiTheme="majorHAnsi" w:cstheme="majorHAnsi"/>
          <w:color w:val="333333"/>
          <w:lang w:eastAsia="nb-NO"/>
        </w:rPr>
      </w:pPr>
      <w:r>
        <w:rPr>
          <w:rFonts w:asciiTheme="majorHAnsi" w:eastAsia="Times New Roman" w:hAnsiTheme="majorHAnsi" w:cstheme="majorHAnsi"/>
          <w:color w:val="333333"/>
          <w:lang w:eastAsia="nb-NO"/>
        </w:rPr>
        <w:t xml:space="preserve">I første del </w:t>
      </w:r>
      <w:r w:rsidR="00E15ECC">
        <w:rPr>
          <w:rFonts w:asciiTheme="majorHAnsi" w:eastAsia="Times New Roman" w:hAnsiTheme="majorHAnsi" w:cstheme="majorHAnsi"/>
          <w:color w:val="333333"/>
          <w:lang w:eastAsia="nb-NO"/>
        </w:rPr>
        <w:t xml:space="preserve">av notatet </w:t>
      </w:r>
      <w:r>
        <w:rPr>
          <w:rFonts w:asciiTheme="majorHAnsi" w:eastAsia="Times New Roman" w:hAnsiTheme="majorHAnsi" w:cstheme="majorHAnsi"/>
          <w:color w:val="333333"/>
          <w:lang w:eastAsia="nb-NO"/>
        </w:rPr>
        <w:t>vil enkelte utfordringer knyttet til det materielle innholdet</w:t>
      </w:r>
      <w:r w:rsidR="000034CC">
        <w:rPr>
          <w:rFonts w:asciiTheme="majorHAnsi" w:eastAsia="Times New Roman" w:hAnsiTheme="majorHAnsi" w:cstheme="majorHAnsi"/>
          <w:color w:val="333333"/>
          <w:lang w:eastAsia="nb-NO"/>
        </w:rPr>
        <w:t xml:space="preserve"> i uhl. § 2-1 </w:t>
      </w:r>
      <w:r>
        <w:rPr>
          <w:rFonts w:asciiTheme="majorHAnsi" w:eastAsia="Times New Roman" w:hAnsiTheme="majorHAnsi" w:cstheme="majorHAnsi"/>
          <w:color w:val="333333"/>
          <w:lang w:eastAsia="nb-NO"/>
        </w:rPr>
        <w:t xml:space="preserve">behandles, mens </w:t>
      </w:r>
      <w:r w:rsidR="00152245">
        <w:rPr>
          <w:rFonts w:asciiTheme="majorHAnsi" w:eastAsia="Times New Roman" w:hAnsiTheme="majorHAnsi" w:cstheme="majorHAnsi"/>
          <w:color w:val="333333"/>
          <w:lang w:eastAsia="nb-NO"/>
        </w:rPr>
        <w:t xml:space="preserve">andre </w:t>
      </w:r>
      <w:r>
        <w:rPr>
          <w:rFonts w:asciiTheme="majorHAnsi" w:eastAsia="Times New Roman" w:hAnsiTheme="majorHAnsi" w:cstheme="majorHAnsi"/>
          <w:color w:val="333333"/>
          <w:lang w:eastAsia="nb-NO"/>
        </w:rPr>
        <w:t>forhold av mer rettsteknisk karakter presenteres i del to</w:t>
      </w:r>
      <w:r w:rsidR="00BF0E54">
        <w:rPr>
          <w:rFonts w:asciiTheme="majorHAnsi" w:eastAsia="Times New Roman" w:hAnsiTheme="majorHAnsi" w:cstheme="majorHAnsi"/>
          <w:color w:val="333333"/>
          <w:lang w:eastAsia="nb-NO"/>
        </w:rPr>
        <w:t xml:space="preserve"> av notatet</w:t>
      </w:r>
      <w:r>
        <w:rPr>
          <w:rFonts w:asciiTheme="majorHAnsi" w:eastAsia="Times New Roman" w:hAnsiTheme="majorHAnsi" w:cstheme="majorHAnsi"/>
          <w:color w:val="333333"/>
          <w:lang w:eastAsia="nb-NO"/>
        </w:rPr>
        <w:t xml:space="preserve">. </w:t>
      </w:r>
    </w:p>
    <w:p w14:paraId="1370BC1C" w14:textId="77777777" w:rsidR="00F502B7" w:rsidRPr="00C405F9" w:rsidRDefault="00F502B7" w:rsidP="00C405F9">
      <w:pPr>
        <w:spacing w:after="0" w:line="330" w:lineRule="atLeast"/>
        <w:textAlignment w:val="center"/>
        <w:rPr>
          <w:rFonts w:asciiTheme="majorHAnsi" w:eastAsia="Times New Roman" w:hAnsiTheme="majorHAnsi" w:cstheme="majorHAnsi"/>
          <w:color w:val="333333"/>
          <w:lang w:eastAsia="nb-NO"/>
        </w:rPr>
      </w:pPr>
    </w:p>
    <w:p w14:paraId="0E3A1C37" w14:textId="3FA92745" w:rsidR="00FF5AA4" w:rsidRPr="00F502B7" w:rsidRDefault="00FF5AA4" w:rsidP="00E80740">
      <w:pPr>
        <w:pStyle w:val="Overskrift1"/>
        <w:numPr>
          <w:ilvl w:val="0"/>
          <w:numId w:val="2"/>
        </w:numPr>
        <w:spacing w:before="0"/>
        <w:rPr>
          <w:rFonts w:eastAsia="Times New Roman" w:cstheme="majorHAnsi"/>
          <w:sz w:val="28"/>
          <w:szCs w:val="22"/>
          <w:lang w:eastAsia="nb-NO"/>
        </w:rPr>
      </w:pPr>
      <w:bookmarkStart w:id="2" w:name="_Toc9835489"/>
      <w:r w:rsidRPr="00F502B7">
        <w:rPr>
          <w:rFonts w:eastAsia="Times New Roman" w:cstheme="majorHAnsi"/>
          <w:sz w:val="28"/>
          <w:szCs w:val="22"/>
          <w:lang w:eastAsia="nb-NO"/>
        </w:rPr>
        <w:t>Det materielle innholdet</w:t>
      </w:r>
      <w:bookmarkEnd w:id="2"/>
    </w:p>
    <w:p w14:paraId="4ACD45DD" w14:textId="6CF81FFC" w:rsidR="00FF5AA4" w:rsidRPr="00C405F9" w:rsidRDefault="00FF5AA4" w:rsidP="00E80740">
      <w:pPr>
        <w:pStyle w:val="Overskrift1"/>
        <w:numPr>
          <w:ilvl w:val="1"/>
          <w:numId w:val="2"/>
        </w:numPr>
        <w:spacing w:before="0"/>
        <w:rPr>
          <w:rFonts w:eastAsia="Times New Roman" w:cstheme="majorHAnsi"/>
          <w:sz w:val="22"/>
          <w:szCs w:val="22"/>
          <w:lang w:eastAsia="nb-NO"/>
        </w:rPr>
      </w:pPr>
      <w:bookmarkStart w:id="3" w:name="_Toc9835490"/>
      <w:r>
        <w:rPr>
          <w:rFonts w:eastAsia="Times New Roman" w:cstheme="majorHAnsi"/>
          <w:sz w:val="22"/>
          <w:szCs w:val="22"/>
          <w:lang w:eastAsia="nb-NO"/>
        </w:rPr>
        <w:t>NOKUTs uavhengighet</w:t>
      </w:r>
      <w:bookmarkEnd w:id="3"/>
    </w:p>
    <w:p w14:paraId="3FFE07C7" w14:textId="77777777" w:rsidR="00FF5AA4" w:rsidRPr="006132F0" w:rsidRDefault="00FF5AA4" w:rsidP="006132F0">
      <w:pPr>
        <w:spacing w:after="0" w:line="330" w:lineRule="atLeast"/>
        <w:textAlignment w:val="center"/>
        <w:rPr>
          <w:rFonts w:asciiTheme="majorHAnsi" w:eastAsia="Times New Roman" w:hAnsiTheme="majorHAnsi" w:cstheme="majorHAnsi"/>
          <w:b/>
          <w:color w:val="333333"/>
          <w:lang w:eastAsia="nb-NO"/>
        </w:rPr>
      </w:pPr>
      <w:r w:rsidRPr="006132F0">
        <w:rPr>
          <w:rFonts w:asciiTheme="majorHAnsi" w:eastAsia="Times New Roman" w:hAnsiTheme="majorHAnsi" w:cstheme="majorHAnsi"/>
          <w:b/>
          <w:color w:val="333333"/>
          <w:lang w:eastAsia="nb-NO"/>
        </w:rPr>
        <w:t>Gjeldende rett</w:t>
      </w:r>
    </w:p>
    <w:p w14:paraId="0F7D24A1" w14:textId="202262C6" w:rsidR="00FF5AA4" w:rsidRDefault="00FF5AA4" w:rsidP="00FF5AA4">
      <w:pPr>
        <w:spacing w:after="0" w:line="330" w:lineRule="atLeast"/>
        <w:textAlignment w:val="center"/>
        <w:rPr>
          <w:rFonts w:asciiTheme="majorHAnsi" w:eastAsia="Times New Roman" w:hAnsiTheme="majorHAnsi" w:cstheme="majorHAnsi"/>
          <w:color w:val="333333"/>
          <w:lang w:eastAsia="nb-NO"/>
        </w:rPr>
      </w:pPr>
      <w:r w:rsidRPr="00C405F9">
        <w:rPr>
          <w:rFonts w:asciiTheme="majorHAnsi" w:eastAsia="Times New Roman" w:hAnsiTheme="majorHAnsi" w:cstheme="majorHAnsi"/>
          <w:color w:val="333333"/>
          <w:lang w:eastAsia="nb-NO"/>
        </w:rPr>
        <w:t xml:space="preserve">I </w:t>
      </w:r>
      <w:r w:rsidR="00EE3908">
        <w:rPr>
          <w:rFonts w:asciiTheme="majorHAnsi" w:eastAsia="Times New Roman" w:hAnsiTheme="majorHAnsi" w:cstheme="majorHAnsi"/>
          <w:color w:val="333333"/>
          <w:lang w:eastAsia="nb-NO"/>
        </w:rPr>
        <w:t>uhl. § 2-1</w:t>
      </w:r>
      <w:r w:rsidRPr="00C405F9">
        <w:rPr>
          <w:rFonts w:asciiTheme="majorHAnsi" w:eastAsia="Times New Roman" w:hAnsiTheme="majorHAnsi" w:cstheme="majorHAnsi"/>
          <w:color w:val="333333"/>
          <w:lang w:eastAsia="nb-NO"/>
        </w:rPr>
        <w:t xml:space="preserve"> første ledd fremgår det at NOKUT er et «</w:t>
      </w:r>
      <w:r w:rsidRPr="00C405F9">
        <w:rPr>
          <w:rFonts w:asciiTheme="majorHAnsi" w:eastAsia="Times New Roman" w:hAnsiTheme="majorHAnsi" w:cstheme="majorHAnsi"/>
          <w:i/>
          <w:color w:val="333333"/>
          <w:lang w:eastAsia="nb-NO"/>
        </w:rPr>
        <w:t>statlig forvaltningsorgan</w:t>
      </w:r>
      <w:r w:rsidRPr="00C405F9">
        <w:rPr>
          <w:rFonts w:asciiTheme="majorHAnsi" w:eastAsia="Times New Roman" w:hAnsiTheme="majorHAnsi" w:cstheme="majorHAnsi"/>
          <w:color w:val="333333"/>
          <w:lang w:eastAsia="nb-NO"/>
        </w:rPr>
        <w:t xml:space="preserve"> </w:t>
      </w:r>
      <w:r w:rsidRPr="00C405F9">
        <w:rPr>
          <w:rFonts w:asciiTheme="majorHAnsi" w:eastAsia="Times New Roman" w:hAnsiTheme="majorHAnsi" w:cstheme="majorHAnsi"/>
          <w:i/>
          <w:color w:val="333333"/>
          <w:lang w:eastAsia="nb-NO"/>
        </w:rPr>
        <w:t>som er faglig uavhengig i oppgavene nevnt i tredje og fjerde ledd</w:t>
      </w:r>
      <w:r w:rsidRPr="00C405F9">
        <w:rPr>
          <w:rFonts w:asciiTheme="majorHAnsi" w:eastAsia="Times New Roman" w:hAnsiTheme="majorHAnsi" w:cstheme="majorHAnsi"/>
          <w:color w:val="333333"/>
          <w:lang w:eastAsia="nb-NO"/>
        </w:rPr>
        <w:t xml:space="preserve">.» </w:t>
      </w:r>
    </w:p>
    <w:p w14:paraId="51167D2E" w14:textId="77777777" w:rsidR="00FF5AA4" w:rsidRDefault="00FF5AA4" w:rsidP="00FF5AA4">
      <w:pPr>
        <w:spacing w:after="0" w:line="330" w:lineRule="atLeast"/>
        <w:textAlignment w:val="center"/>
        <w:rPr>
          <w:rFonts w:asciiTheme="majorHAnsi" w:eastAsia="Times New Roman" w:hAnsiTheme="majorHAnsi" w:cstheme="majorHAnsi"/>
          <w:color w:val="333333"/>
          <w:lang w:eastAsia="nb-NO"/>
        </w:rPr>
      </w:pPr>
    </w:p>
    <w:p w14:paraId="6B9CCD1F" w14:textId="1187E062" w:rsidR="00153ED1" w:rsidRDefault="007F6056" w:rsidP="00FF5AA4">
      <w:pPr>
        <w:spacing w:after="0" w:line="330" w:lineRule="atLeast"/>
        <w:textAlignment w:val="center"/>
        <w:rPr>
          <w:rFonts w:asciiTheme="majorHAnsi" w:eastAsia="Times New Roman" w:hAnsiTheme="majorHAnsi" w:cstheme="majorHAnsi"/>
          <w:color w:val="333333"/>
          <w:lang w:eastAsia="nb-NO"/>
        </w:rPr>
      </w:pPr>
      <w:r>
        <w:rPr>
          <w:rFonts w:asciiTheme="majorHAnsi" w:eastAsia="Times New Roman" w:hAnsiTheme="majorHAnsi" w:cstheme="majorHAnsi"/>
          <w:color w:val="333333"/>
          <w:lang w:eastAsia="nb-NO"/>
        </w:rPr>
        <w:t xml:space="preserve">Av </w:t>
      </w:r>
      <w:r w:rsidRPr="00153ED1">
        <w:rPr>
          <w:rFonts w:asciiTheme="majorHAnsi" w:eastAsia="Times New Roman" w:hAnsiTheme="majorHAnsi" w:cstheme="majorHAnsi"/>
          <w:color w:val="333333"/>
          <w:lang w:eastAsia="nb-NO"/>
        </w:rPr>
        <w:t xml:space="preserve">Ot.prp. nr. 71 (2008-2009) </w:t>
      </w:r>
      <w:r>
        <w:rPr>
          <w:rFonts w:asciiTheme="majorHAnsi" w:eastAsia="Times New Roman" w:hAnsiTheme="majorHAnsi" w:cstheme="majorHAnsi"/>
          <w:color w:val="333333"/>
          <w:lang w:eastAsia="nb-NO"/>
        </w:rPr>
        <w:t xml:space="preserve">fremgår det at </w:t>
      </w:r>
      <w:r w:rsidRPr="00153ED1">
        <w:rPr>
          <w:rFonts w:asciiTheme="majorHAnsi" w:eastAsia="Times New Roman" w:hAnsiTheme="majorHAnsi" w:cstheme="majorHAnsi"/>
          <w:color w:val="333333"/>
          <w:lang w:eastAsia="nb-NO"/>
        </w:rPr>
        <w:t>det ligger</w:t>
      </w:r>
      <w:r>
        <w:rPr>
          <w:rFonts w:asciiTheme="majorHAnsi" w:eastAsia="Times New Roman" w:hAnsiTheme="majorHAnsi" w:cstheme="majorHAnsi"/>
          <w:color w:val="333333"/>
          <w:lang w:eastAsia="nb-NO"/>
        </w:rPr>
        <w:t xml:space="preserve"> i</w:t>
      </w:r>
      <w:r w:rsidRPr="00153ED1">
        <w:rPr>
          <w:rFonts w:asciiTheme="majorHAnsi" w:eastAsia="Times New Roman" w:hAnsiTheme="majorHAnsi" w:cstheme="majorHAnsi"/>
          <w:color w:val="333333"/>
          <w:lang w:eastAsia="nb-NO"/>
        </w:rPr>
        <w:t xml:space="preserve"> </w:t>
      </w:r>
      <w:r w:rsidR="00153ED1" w:rsidRPr="00153ED1">
        <w:rPr>
          <w:rFonts w:asciiTheme="majorHAnsi" w:eastAsia="Times New Roman" w:hAnsiTheme="majorHAnsi" w:cstheme="majorHAnsi"/>
          <w:color w:val="333333"/>
          <w:lang w:eastAsia="nb-NO"/>
        </w:rPr>
        <w:t xml:space="preserve">begrepet «forvaltningsorgan» at NOKUT er </w:t>
      </w:r>
      <w:r>
        <w:rPr>
          <w:rFonts w:asciiTheme="majorHAnsi" w:eastAsia="Times New Roman" w:hAnsiTheme="majorHAnsi" w:cstheme="majorHAnsi"/>
          <w:color w:val="333333"/>
          <w:lang w:eastAsia="nb-NO"/>
        </w:rPr>
        <w:t>«</w:t>
      </w:r>
      <w:r w:rsidR="00153ED1" w:rsidRPr="007F6056">
        <w:rPr>
          <w:rFonts w:asciiTheme="majorHAnsi" w:eastAsia="Times New Roman" w:hAnsiTheme="majorHAnsi" w:cstheme="majorHAnsi"/>
          <w:i/>
          <w:color w:val="333333"/>
          <w:lang w:eastAsia="nb-NO"/>
        </w:rPr>
        <w:t>underlagt departementets alminnelige styringsmyndighet i økonomiske, organisatoriske og administrative forhold</w:t>
      </w:r>
      <w:r>
        <w:rPr>
          <w:rFonts w:asciiTheme="majorHAnsi" w:eastAsia="Times New Roman" w:hAnsiTheme="majorHAnsi" w:cstheme="majorHAnsi"/>
          <w:color w:val="333333"/>
          <w:lang w:eastAsia="nb-NO"/>
        </w:rPr>
        <w:t>»</w:t>
      </w:r>
      <w:r w:rsidR="00153ED1" w:rsidRPr="00153ED1">
        <w:rPr>
          <w:rFonts w:asciiTheme="majorHAnsi" w:eastAsia="Times New Roman" w:hAnsiTheme="majorHAnsi" w:cstheme="majorHAnsi"/>
          <w:color w:val="333333"/>
          <w:lang w:eastAsia="nb-NO"/>
        </w:rPr>
        <w:t xml:space="preserve">. Videre </w:t>
      </w:r>
      <w:r>
        <w:rPr>
          <w:rFonts w:asciiTheme="majorHAnsi" w:eastAsia="Times New Roman" w:hAnsiTheme="majorHAnsi" w:cstheme="majorHAnsi"/>
          <w:color w:val="333333"/>
          <w:lang w:eastAsia="nb-NO"/>
        </w:rPr>
        <w:t>fremgår det at det innebærer «</w:t>
      </w:r>
      <w:r w:rsidR="00153ED1" w:rsidRPr="007F6056">
        <w:rPr>
          <w:rFonts w:asciiTheme="majorHAnsi" w:eastAsia="Times New Roman" w:hAnsiTheme="majorHAnsi" w:cstheme="majorHAnsi"/>
          <w:i/>
          <w:color w:val="333333"/>
          <w:lang w:eastAsia="nb-NO"/>
        </w:rPr>
        <w:t>at departementet gjennom instruksjonsmyndighet kan delegere forvaltningsoppgaver til NOKUT</w:t>
      </w:r>
      <w:r>
        <w:rPr>
          <w:rFonts w:asciiTheme="majorHAnsi" w:eastAsia="Times New Roman" w:hAnsiTheme="majorHAnsi" w:cstheme="majorHAnsi"/>
          <w:color w:val="333333"/>
          <w:lang w:eastAsia="nb-NO"/>
        </w:rPr>
        <w:t>»</w:t>
      </w:r>
      <w:r w:rsidR="00153ED1">
        <w:rPr>
          <w:rFonts w:asciiTheme="majorHAnsi" w:eastAsia="Times New Roman" w:hAnsiTheme="majorHAnsi" w:cstheme="majorHAnsi"/>
          <w:color w:val="333333"/>
          <w:lang w:eastAsia="nb-NO"/>
        </w:rPr>
        <w:t xml:space="preserve">. </w:t>
      </w:r>
    </w:p>
    <w:p w14:paraId="080A40FB" w14:textId="77777777" w:rsidR="00153ED1" w:rsidRDefault="00153ED1" w:rsidP="00FF5AA4">
      <w:pPr>
        <w:spacing w:after="0" w:line="330" w:lineRule="atLeast"/>
        <w:textAlignment w:val="center"/>
        <w:rPr>
          <w:rFonts w:asciiTheme="majorHAnsi" w:eastAsia="Times New Roman" w:hAnsiTheme="majorHAnsi" w:cstheme="majorHAnsi"/>
          <w:color w:val="333333"/>
          <w:lang w:eastAsia="nb-NO"/>
        </w:rPr>
      </w:pPr>
    </w:p>
    <w:p w14:paraId="73B0B1DF" w14:textId="4EC4BC1F" w:rsidR="008E28A0" w:rsidRDefault="008E28A0" w:rsidP="008E28A0">
      <w:pPr>
        <w:spacing w:after="0" w:line="330" w:lineRule="atLeast"/>
        <w:textAlignment w:val="center"/>
        <w:rPr>
          <w:rFonts w:asciiTheme="majorHAnsi" w:eastAsia="Times New Roman" w:hAnsiTheme="majorHAnsi" w:cstheme="majorHAnsi"/>
          <w:color w:val="333333"/>
          <w:lang w:eastAsia="nb-NO"/>
        </w:rPr>
      </w:pPr>
      <w:r>
        <w:rPr>
          <w:rFonts w:asciiTheme="majorHAnsi" w:eastAsia="Times New Roman" w:hAnsiTheme="majorHAnsi" w:cstheme="majorHAnsi"/>
          <w:color w:val="333333"/>
          <w:lang w:eastAsia="nb-NO"/>
        </w:rPr>
        <w:t xml:space="preserve">Utgangspunktet i Norge </w:t>
      </w:r>
      <w:r w:rsidRPr="00C405F9">
        <w:rPr>
          <w:rFonts w:asciiTheme="majorHAnsi" w:eastAsia="Times New Roman" w:hAnsiTheme="majorHAnsi" w:cstheme="majorHAnsi"/>
          <w:color w:val="333333"/>
          <w:lang w:eastAsia="nb-NO"/>
        </w:rPr>
        <w:t>er</w:t>
      </w:r>
      <w:r>
        <w:rPr>
          <w:rFonts w:asciiTheme="majorHAnsi" w:eastAsia="Times New Roman" w:hAnsiTheme="majorHAnsi" w:cstheme="majorHAnsi"/>
          <w:color w:val="333333"/>
          <w:lang w:eastAsia="nb-NO"/>
        </w:rPr>
        <w:t xml:space="preserve"> at </w:t>
      </w:r>
      <w:r w:rsidRPr="00C405F9">
        <w:rPr>
          <w:rFonts w:asciiTheme="majorHAnsi" w:eastAsia="Times New Roman" w:hAnsiTheme="majorHAnsi" w:cstheme="majorHAnsi"/>
          <w:color w:val="333333"/>
          <w:lang w:eastAsia="nb-NO"/>
        </w:rPr>
        <w:t>offentlig virksomhet er hierarkisk oppbygd.</w:t>
      </w:r>
      <w:r w:rsidRPr="006C383A">
        <w:rPr>
          <w:rFonts w:asciiTheme="majorHAnsi" w:eastAsia="Times New Roman" w:hAnsiTheme="majorHAnsi" w:cstheme="majorHAnsi"/>
          <w:color w:val="333333"/>
          <w:lang w:eastAsia="nb-NO"/>
        </w:rPr>
        <w:t xml:space="preserve"> </w:t>
      </w:r>
      <w:r w:rsidRPr="00C405F9">
        <w:rPr>
          <w:rFonts w:asciiTheme="majorHAnsi" w:eastAsia="Times New Roman" w:hAnsiTheme="majorHAnsi" w:cstheme="majorHAnsi"/>
          <w:color w:val="333333"/>
          <w:lang w:eastAsia="nb-NO"/>
        </w:rPr>
        <w:t xml:space="preserve">Når det fastslås i </w:t>
      </w:r>
      <w:r>
        <w:rPr>
          <w:rFonts w:asciiTheme="majorHAnsi" w:eastAsia="Times New Roman" w:hAnsiTheme="majorHAnsi" w:cstheme="majorHAnsi"/>
          <w:color w:val="333333"/>
          <w:lang w:eastAsia="nb-NO"/>
        </w:rPr>
        <w:t>uhl. § 2-1 første ledd</w:t>
      </w:r>
      <w:r w:rsidRPr="00C405F9">
        <w:rPr>
          <w:rFonts w:asciiTheme="majorHAnsi" w:eastAsia="Times New Roman" w:hAnsiTheme="majorHAnsi" w:cstheme="majorHAnsi"/>
          <w:color w:val="333333"/>
          <w:lang w:eastAsia="nb-NO"/>
        </w:rPr>
        <w:t xml:space="preserve"> at NOKUT er «</w:t>
      </w:r>
      <w:r w:rsidRPr="00C405F9">
        <w:rPr>
          <w:rFonts w:asciiTheme="majorHAnsi" w:eastAsia="Times New Roman" w:hAnsiTheme="majorHAnsi" w:cstheme="majorHAnsi"/>
          <w:i/>
          <w:color w:val="333333"/>
          <w:lang w:eastAsia="nb-NO"/>
        </w:rPr>
        <w:t>faglig uavhengig</w:t>
      </w:r>
      <w:r w:rsidRPr="00C405F9">
        <w:rPr>
          <w:rFonts w:asciiTheme="majorHAnsi" w:eastAsia="Times New Roman" w:hAnsiTheme="majorHAnsi" w:cstheme="majorHAnsi"/>
          <w:color w:val="333333"/>
          <w:lang w:eastAsia="nb-NO"/>
        </w:rPr>
        <w:t xml:space="preserve">» i angitte oppgaver er dette en avvikende organisering. </w:t>
      </w:r>
      <w:r>
        <w:rPr>
          <w:rFonts w:asciiTheme="majorHAnsi" w:eastAsia="Times New Roman" w:hAnsiTheme="majorHAnsi" w:cstheme="majorHAnsi"/>
          <w:color w:val="333333"/>
          <w:lang w:eastAsia="nb-NO"/>
        </w:rPr>
        <w:t>S</w:t>
      </w:r>
      <w:r w:rsidRPr="006C62A7">
        <w:rPr>
          <w:rFonts w:asciiTheme="majorHAnsi" w:eastAsia="Times New Roman" w:hAnsiTheme="majorHAnsi" w:cstheme="majorHAnsi"/>
          <w:color w:val="333333"/>
          <w:lang w:eastAsia="nb-NO"/>
        </w:rPr>
        <w:t>tatsråden har følgeli</w:t>
      </w:r>
      <w:r>
        <w:rPr>
          <w:rFonts w:asciiTheme="majorHAnsi" w:eastAsia="Times New Roman" w:hAnsiTheme="majorHAnsi" w:cstheme="majorHAnsi"/>
          <w:color w:val="333333"/>
          <w:lang w:eastAsia="nb-NO"/>
        </w:rPr>
        <w:t xml:space="preserve">g en </w:t>
      </w:r>
      <w:r w:rsidRPr="006C62A7">
        <w:rPr>
          <w:rFonts w:asciiTheme="majorHAnsi" w:eastAsia="Times New Roman" w:hAnsiTheme="majorHAnsi" w:cstheme="majorHAnsi"/>
          <w:color w:val="333333"/>
          <w:lang w:eastAsia="nb-NO"/>
        </w:rPr>
        <w:t xml:space="preserve">mer </w:t>
      </w:r>
      <w:r>
        <w:rPr>
          <w:rFonts w:asciiTheme="majorHAnsi" w:eastAsia="Times New Roman" w:hAnsiTheme="majorHAnsi" w:cstheme="majorHAnsi"/>
          <w:color w:val="333333"/>
          <w:lang w:eastAsia="nb-NO"/>
        </w:rPr>
        <w:t>begrenset styringsmulighet</w:t>
      </w:r>
      <w:r w:rsidRPr="006C62A7">
        <w:rPr>
          <w:rFonts w:asciiTheme="majorHAnsi" w:eastAsia="Times New Roman" w:hAnsiTheme="majorHAnsi" w:cstheme="majorHAnsi"/>
          <w:color w:val="333333"/>
          <w:lang w:eastAsia="nb-NO"/>
        </w:rPr>
        <w:t xml:space="preserve"> </w:t>
      </w:r>
      <w:r>
        <w:rPr>
          <w:rFonts w:asciiTheme="majorHAnsi" w:eastAsia="Times New Roman" w:hAnsiTheme="majorHAnsi" w:cstheme="majorHAnsi"/>
          <w:color w:val="333333"/>
          <w:lang w:eastAsia="nb-NO"/>
        </w:rPr>
        <w:t xml:space="preserve">med tilhørende </w:t>
      </w:r>
      <w:r w:rsidRPr="006C62A7">
        <w:rPr>
          <w:rFonts w:asciiTheme="majorHAnsi" w:eastAsia="Times New Roman" w:hAnsiTheme="majorHAnsi" w:cstheme="majorHAnsi"/>
          <w:color w:val="333333"/>
          <w:lang w:eastAsia="nb-NO"/>
        </w:rPr>
        <w:t>begrenset ansvar overfor Stortinget.</w:t>
      </w:r>
      <w:r w:rsidRPr="00D55B51">
        <w:rPr>
          <w:rFonts w:asciiTheme="majorHAnsi" w:eastAsia="Times New Roman" w:hAnsiTheme="majorHAnsi" w:cstheme="majorHAnsi"/>
          <w:color w:val="333333"/>
          <w:lang w:eastAsia="nb-NO"/>
        </w:rPr>
        <w:t xml:space="preserve"> </w:t>
      </w:r>
    </w:p>
    <w:p w14:paraId="7EA47A22" w14:textId="77777777" w:rsidR="008E28A0" w:rsidRDefault="008E28A0" w:rsidP="008E28A0">
      <w:pPr>
        <w:spacing w:after="0" w:line="330" w:lineRule="atLeast"/>
        <w:textAlignment w:val="center"/>
        <w:rPr>
          <w:rFonts w:asciiTheme="majorHAnsi" w:eastAsia="Times New Roman" w:hAnsiTheme="majorHAnsi" w:cstheme="majorHAnsi"/>
          <w:color w:val="333333"/>
          <w:lang w:eastAsia="nb-NO"/>
        </w:rPr>
      </w:pPr>
    </w:p>
    <w:p w14:paraId="2F841DC6" w14:textId="05A5522A" w:rsidR="00B45EBC" w:rsidRPr="00C405F9" w:rsidRDefault="007E3090" w:rsidP="00FF5AA4">
      <w:pPr>
        <w:spacing w:after="0" w:line="330" w:lineRule="atLeast"/>
        <w:textAlignment w:val="center"/>
        <w:rPr>
          <w:rFonts w:asciiTheme="majorHAnsi" w:eastAsia="Times New Roman" w:hAnsiTheme="majorHAnsi" w:cstheme="majorHAnsi"/>
          <w:color w:val="333333"/>
          <w:lang w:eastAsia="nb-NO"/>
        </w:rPr>
      </w:pPr>
      <w:r>
        <w:rPr>
          <w:rFonts w:asciiTheme="majorHAnsi" w:eastAsia="Times New Roman" w:hAnsiTheme="majorHAnsi" w:cstheme="majorHAnsi"/>
          <w:color w:val="333333"/>
          <w:lang w:eastAsia="nb-NO"/>
        </w:rPr>
        <w:t xml:space="preserve">Bestemmelsen ble endret ved lov 15. juni 2018. I den forbindelse ble det i </w:t>
      </w:r>
      <w:r w:rsidR="00FF5AA4" w:rsidRPr="00C405F9">
        <w:rPr>
          <w:rFonts w:asciiTheme="majorHAnsi" w:eastAsia="Times New Roman" w:hAnsiTheme="majorHAnsi" w:cstheme="majorHAnsi"/>
          <w:color w:val="333333"/>
          <w:lang w:eastAsia="nb-NO"/>
        </w:rPr>
        <w:t xml:space="preserve">Prop.64 L (2017-2018) </w:t>
      </w:r>
      <w:r w:rsidR="00A45C9E">
        <w:rPr>
          <w:rFonts w:asciiTheme="majorHAnsi" w:eastAsia="Times New Roman" w:hAnsiTheme="majorHAnsi" w:cstheme="majorHAnsi"/>
          <w:color w:val="333333"/>
          <w:lang w:eastAsia="nb-NO"/>
        </w:rPr>
        <w:t xml:space="preserve">i merknaden </w:t>
      </w:r>
      <w:r>
        <w:rPr>
          <w:rFonts w:asciiTheme="majorHAnsi" w:eastAsia="Times New Roman" w:hAnsiTheme="majorHAnsi" w:cstheme="majorHAnsi"/>
          <w:color w:val="333333"/>
          <w:lang w:eastAsia="nb-NO"/>
        </w:rPr>
        <w:t xml:space="preserve">uttalt at </w:t>
      </w:r>
      <w:r w:rsidR="00FF5AA4">
        <w:rPr>
          <w:rFonts w:asciiTheme="majorHAnsi" w:eastAsia="Times New Roman" w:hAnsiTheme="majorHAnsi" w:cstheme="majorHAnsi"/>
          <w:color w:val="333333"/>
          <w:lang w:eastAsia="nb-NO"/>
        </w:rPr>
        <w:t>uavhengigheten</w:t>
      </w:r>
      <w:r w:rsidR="00FF5AA4" w:rsidRPr="00C405F9">
        <w:rPr>
          <w:rFonts w:asciiTheme="majorHAnsi" w:eastAsia="Times New Roman" w:hAnsiTheme="majorHAnsi" w:cstheme="majorHAnsi"/>
          <w:color w:val="333333"/>
          <w:lang w:eastAsia="nb-NO"/>
        </w:rPr>
        <w:t xml:space="preserve"> innebærer at «</w:t>
      </w:r>
      <w:r w:rsidR="00FF5AA4" w:rsidRPr="00C405F9">
        <w:rPr>
          <w:rFonts w:asciiTheme="majorHAnsi" w:eastAsia="Times New Roman" w:hAnsiTheme="majorHAnsi" w:cstheme="majorHAnsi"/>
          <w:i/>
          <w:color w:val="333333"/>
          <w:lang w:eastAsia="nb-NO"/>
        </w:rPr>
        <w:t>NOKUT ikke kan gis pålegg eller instrukser om det faglige innholdet i disse oppgavene. NOKUTs faglige frihet inkluderer NOKUTs faglige og fagpolitiske rådgivning på feltet.</w:t>
      </w:r>
      <w:r w:rsidR="00FF5AA4">
        <w:rPr>
          <w:rFonts w:asciiTheme="majorHAnsi" w:eastAsia="Times New Roman" w:hAnsiTheme="majorHAnsi" w:cstheme="majorHAnsi"/>
          <w:i/>
          <w:color w:val="333333"/>
          <w:lang w:eastAsia="nb-NO"/>
        </w:rPr>
        <w:t>»</w:t>
      </w:r>
      <w:r w:rsidR="00FF5AA4">
        <w:rPr>
          <w:rFonts w:asciiTheme="majorHAnsi" w:eastAsia="Times New Roman" w:hAnsiTheme="majorHAnsi" w:cstheme="majorHAnsi"/>
          <w:color w:val="333333"/>
          <w:lang w:eastAsia="nb-NO"/>
        </w:rPr>
        <w:t xml:space="preserve"> </w:t>
      </w:r>
      <w:r w:rsidR="009B0B07">
        <w:rPr>
          <w:rFonts w:asciiTheme="majorHAnsi" w:eastAsia="Times New Roman" w:hAnsiTheme="majorHAnsi" w:cstheme="majorHAnsi"/>
          <w:color w:val="333333"/>
          <w:lang w:eastAsia="nb-NO"/>
        </w:rPr>
        <w:t>Videre fremgår det at «</w:t>
      </w:r>
      <w:r w:rsidR="009B0B07" w:rsidRPr="009B0B07">
        <w:rPr>
          <w:rFonts w:asciiTheme="majorHAnsi" w:eastAsia="Times New Roman" w:hAnsiTheme="majorHAnsi" w:cstheme="majorHAnsi"/>
          <w:i/>
          <w:color w:val="333333"/>
          <w:lang w:eastAsia="nb-NO"/>
        </w:rPr>
        <w:t>Bestemmelsen tydeliggjør at NOKUT som forvaltningsorgan også kan gis forvaltningsoppgaver underlagt ordinær styringsmyndighet fra departementet. Departementet skal imidlertid heller ikke innenfor disse oppgavene påvirke NOKUTs faglige vurderinger og konklusjoner, og det skal være åpenhet om NOKUTs råd, konklusjoner og vedtak</w:t>
      </w:r>
      <w:r w:rsidR="009B0B07">
        <w:rPr>
          <w:rFonts w:asciiTheme="majorHAnsi" w:eastAsia="Times New Roman" w:hAnsiTheme="majorHAnsi" w:cstheme="majorHAnsi"/>
          <w:color w:val="333333"/>
          <w:lang w:eastAsia="nb-NO"/>
        </w:rPr>
        <w:t>.»</w:t>
      </w:r>
    </w:p>
    <w:p w14:paraId="69366997" w14:textId="11212CFC" w:rsidR="00FF5AA4" w:rsidRDefault="00FF5AA4" w:rsidP="00B45EBC">
      <w:pPr>
        <w:spacing w:after="0" w:line="330" w:lineRule="atLeast"/>
        <w:textAlignment w:val="center"/>
        <w:rPr>
          <w:rFonts w:asciiTheme="majorHAnsi" w:eastAsia="Times New Roman" w:hAnsiTheme="majorHAnsi" w:cstheme="majorHAnsi"/>
          <w:color w:val="333333"/>
          <w:lang w:eastAsia="nb-NO"/>
        </w:rPr>
      </w:pPr>
    </w:p>
    <w:p w14:paraId="677DA46A" w14:textId="77777777" w:rsidR="00FF5AA4" w:rsidRPr="006132F0" w:rsidRDefault="00FF5AA4" w:rsidP="006132F0">
      <w:pPr>
        <w:spacing w:after="0" w:line="330" w:lineRule="atLeast"/>
        <w:textAlignment w:val="center"/>
        <w:rPr>
          <w:rFonts w:asciiTheme="majorHAnsi" w:eastAsia="Times New Roman" w:hAnsiTheme="majorHAnsi" w:cstheme="majorHAnsi"/>
          <w:b/>
          <w:color w:val="333333"/>
          <w:lang w:eastAsia="nb-NO"/>
        </w:rPr>
      </w:pPr>
      <w:r w:rsidRPr="006132F0">
        <w:rPr>
          <w:rFonts w:asciiTheme="majorHAnsi" w:eastAsia="Times New Roman" w:hAnsiTheme="majorHAnsi" w:cstheme="majorHAnsi"/>
          <w:b/>
          <w:color w:val="333333"/>
          <w:lang w:eastAsia="nb-NO"/>
        </w:rPr>
        <w:t>NOKUTs vurdering og forslag</w:t>
      </w:r>
    </w:p>
    <w:p w14:paraId="0CED6E10" w14:textId="05DFF925" w:rsidR="00750854" w:rsidRPr="00535F00" w:rsidRDefault="00EE3908" w:rsidP="00FF5AA4">
      <w:pPr>
        <w:spacing w:after="0" w:line="330" w:lineRule="atLeast"/>
        <w:textAlignment w:val="center"/>
        <w:rPr>
          <w:rFonts w:asciiTheme="majorHAnsi" w:eastAsia="Times New Roman" w:hAnsiTheme="majorHAnsi" w:cstheme="majorHAnsi"/>
          <w:color w:val="333333"/>
          <w:lang w:eastAsia="nb-NO"/>
        </w:rPr>
      </w:pPr>
      <w:r w:rsidRPr="00EE3908">
        <w:rPr>
          <w:rFonts w:asciiTheme="majorHAnsi" w:eastAsia="Times New Roman" w:hAnsiTheme="majorHAnsi" w:cstheme="majorHAnsi"/>
          <w:color w:val="333333"/>
          <w:lang w:eastAsia="nb-NO"/>
        </w:rPr>
        <w:t>NOKUTs faglige uavhengighet har vært hjemlet i lov helt fra NOKUT ble opprettet i 2003</w:t>
      </w:r>
      <w:r>
        <w:rPr>
          <w:rFonts w:asciiTheme="majorHAnsi" w:eastAsia="Times New Roman" w:hAnsiTheme="majorHAnsi" w:cstheme="majorHAnsi"/>
          <w:color w:val="333333"/>
          <w:lang w:eastAsia="nb-NO"/>
        </w:rPr>
        <w:t>.</w:t>
      </w:r>
      <w:r w:rsidR="00522F83" w:rsidRPr="00522F83">
        <w:t xml:space="preserve"> </w:t>
      </w:r>
      <w:r w:rsidR="00522F83" w:rsidRPr="00522F83">
        <w:rPr>
          <w:rFonts w:asciiTheme="majorHAnsi" w:eastAsia="Times New Roman" w:hAnsiTheme="majorHAnsi" w:cstheme="majorHAnsi"/>
          <w:color w:val="333333"/>
          <w:lang w:eastAsia="nb-NO"/>
        </w:rPr>
        <w:t>At faglig tilsyn og akkreditering av høyere utdanning skal være uavhengig, og operere på fritt grunnlag uten innblanding fra tredjepart, har senere også blitt et internasjonalt krav</w:t>
      </w:r>
      <w:r w:rsidR="00522F83">
        <w:rPr>
          <w:rFonts w:asciiTheme="majorHAnsi" w:eastAsia="Times New Roman" w:hAnsiTheme="majorHAnsi" w:cstheme="majorHAnsi"/>
          <w:color w:val="333333"/>
          <w:lang w:eastAsia="nb-NO"/>
        </w:rPr>
        <w:t xml:space="preserve">, jf. </w:t>
      </w:r>
      <w:r w:rsidR="00522F83" w:rsidRPr="00522F83">
        <w:rPr>
          <w:rFonts w:asciiTheme="majorHAnsi" w:eastAsia="Times New Roman" w:hAnsiTheme="majorHAnsi" w:cstheme="majorHAnsi"/>
          <w:color w:val="333333"/>
          <w:lang w:val="en-GB" w:eastAsia="nb-NO"/>
        </w:rPr>
        <w:t>European Standards and Guidelines for Quality Assurance in the European Higher Education Area (ESG).</w:t>
      </w:r>
      <w:r w:rsidRPr="00522F83">
        <w:rPr>
          <w:rFonts w:asciiTheme="majorHAnsi" w:eastAsia="Times New Roman" w:hAnsiTheme="majorHAnsi" w:cstheme="majorHAnsi"/>
          <w:color w:val="333333"/>
          <w:lang w:val="en-GB" w:eastAsia="nb-NO"/>
        </w:rPr>
        <w:t xml:space="preserve"> </w:t>
      </w:r>
      <w:r w:rsidR="003066F7" w:rsidRPr="00535F00">
        <w:rPr>
          <w:rFonts w:asciiTheme="majorHAnsi" w:eastAsia="Times New Roman" w:hAnsiTheme="majorHAnsi" w:cstheme="majorHAnsi"/>
          <w:color w:val="333333"/>
          <w:lang w:eastAsia="nb-NO"/>
        </w:rPr>
        <w:t xml:space="preserve">For å være medlem av European Association for Quality Assurance in Higher Education (ENQA) må NOKUT </w:t>
      </w:r>
      <w:r w:rsidR="00B25C8D" w:rsidRPr="00535F00">
        <w:rPr>
          <w:rFonts w:asciiTheme="majorHAnsi" w:eastAsia="Times New Roman" w:hAnsiTheme="majorHAnsi" w:cstheme="majorHAnsi"/>
          <w:color w:val="333333"/>
          <w:lang w:eastAsia="nb-NO"/>
        </w:rPr>
        <w:t>tilfredsstille</w:t>
      </w:r>
      <w:r w:rsidR="003066F7" w:rsidRPr="00535F00">
        <w:rPr>
          <w:rFonts w:asciiTheme="majorHAnsi" w:eastAsia="Times New Roman" w:hAnsiTheme="majorHAnsi" w:cstheme="majorHAnsi"/>
          <w:color w:val="333333"/>
          <w:lang w:eastAsia="nb-NO"/>
        </w:rPr>
        <w:t xml:space="preserve"> ESG.</w:t>
      </w:r>
    </w:p>
    <w:p w14:paraId="2AAA1DB9" w14:textId="77777777" w:rsidR="00750854" w:rsidRPr="00535F00" w:rsidRDefault="00750854" w:rsidP="00FF5AA4">
      <w:pPr>
        <w:spacing w:after="0" w:line="330" w:lineRule="atLeast"/>
        <w:textAlignment w:val="center"/>
        <w:rPr>
          <w:rFonts w:asciiTheme="majorHAnsi" w:eastAsia="Times New Roman" w:hAnsiTheme="majorHAnsi" w:cstheme="majorHAnsi"/>
          <w:color w:val="333333"/>
          <w:lang w:eastAsia="nb-NO"/>
        </w:rPr>
      </w:pPr>
    </w:p>
    <w:p w14:paraId="23FEAD9E" w14:textId="56B94DBA" w:rsidR="00EE3908" w:rsidRDefault="00EE3908" w:rsidP="00FF5AA4">
      <w:pPr>
        <w:spacing w:after="0" w:line="330" w:lineRule="atLeast"/>
        <w:textAlignment w:val="center"/>
        <w:rPr>
          <w:rFonts w:asciiTheme="majorHAnsi" w:eastAsia="Times New Roman" w:hAnsiTheme="majorHAnsi" w:cstheme="majorHAnsi"/>
          <w:color w:val="333333"/>
          <w:lang w:eastAsia="nb-NO"/>
        </w:rPr>
      </w:pPr>
      <w:r>
        <w:rPr>
          <w:rFonts w:asciiTheme="majorHAnsi" w:eastAsia="Times New Roman" w:hAnsiTheme="majorHAnsi" w:cstheme="majorHAnsi"/>
          <w:color w:val="333333"/>
          <w:lang w:eastAsia="nb-NO"/>
        </w:rPr>
        <w:t xml:space="preserve">Tidligere </w:t>
      </w:r>
      <w:r w:rsidR="00B565B4">
        <w:rPr>
          <w:rFonts w:asciiTheme="majorHAnsi" w:eastAsia="Times New Roman" w:hAnsiTheme="majorHAnsi" w:cstheme="majorHAnsi"/>
          <w:color w:val="333333"/>
          <w:lang w:eastAsia="nb-NO"/>
        </w:rPr>
        <w:t xml:space="preserve">har den faglige uavhengigheten knyttet seg til </w:t>
      </w:r>
      <w:r>
        <w:rPr>
          <w:rFonts w:asciiTheme="majorHAnsi" w:eastAsia="Times New Roman" w:hAnsiTheme="majorHAnsi" w:cstheme="majorHAnsi"/>
          <w:color w:val="333333"/>
          <w:lang w:eastAsia="nb-NO"/>
        </w:rPr>
        <w:t xml:space="preserve">NOKUT </w:t>
      </w:r>
      <w:r w:rsidR="00B565B4">
        <w:rPr>
          <w:rFonts w:asciiTheme="majorHAnsi" w:eastAsia="Times New Roman" w:hAnsiTheme="majorHAnsi" w:cstheme="majorHAnsi"/>
          <w:color w:val="333333"/>
          <w:lang w:eastAsia="nb-NO"/>
        </w:rPr>
        <w:t>generelt</w:t>
      </w:r>
      <w:r>
        <w:rPr>
          <w:rFonts w:asciiTheme="majorHAnsi" w:eastAsia="Times New Roman" w:hAnsiTheme="majorHAnsi" w:cstheme="majorHAnsi"/>
          <w:color w:val="333333"/>
          <w:lang w:eastAsia="nb-NO"/>
        </w:rPr>
        <w:t xml:space="preserve">. I 2018 ble ordlyden endret slik at den faglige uavhengigheten </w:t>
      </w:r>
      <w:r w:rsidR="00B565B4">
        <w:rPr>
          <w:rFonts w:asciiTheme="majorHAnsi" w:eastAsia="Times New Roman" w:hAnsiTheme="majorHAnsi" w:cstheme="majorHAnsi"/>
          <w:color w:val="333333"/>
          <w:lang w:eastAsia="nb-NO"/>
        </w:rPr>
        <w:t xml:space="preserve">nå </w:t>
      </w:r>
      <w:r w:rsidR="00750854">
        <w:rPr>
          <w:rFonts w:asciiTheme="majorHAnsi" w:eastAsia="Times New Roman" w:hAnsiTheme="majorHAnsi" w:cstheme="majorHAnsi"/>
          <w:color w:val="333333"/>
          <w:lang w:eastAsia="nb-NO"/>
        </w:rPr>
        <w:t xml:space="preserve">kun </w:t>
      </w:r>
      <w:r w:rsidR="00B565B4">
        <w:rPr>
          <w:rFonts w:asciiTheme="majorHAnsi" w:eastAsia="Times New Roman" w:hAnsiTheme="majorHAnsi" w:cstheme="majorHAnsi"/>
          <w:color w:val="333333"/>
          <w:lang w:eastAsia="nb-NO"/>
        </w:rPr>
        <w:t>relaterer seg til</w:t>
      </w:r>
      <w:r>
        <w:rPr>
          <w:rFonts w:asciiTheme="majorHAnsi" w:eastAsia="Times New Roman" w:hAnsiTheme="majorHAnsi" w:cstheme="majorHAnsi"/>
          <w:color w:val="333333"/>
          <w:lang w:eastAsia="nb-NO"/>
        </w:rPr>
        <w:t xml:space="preserve"> utvalgte oppgaver. Bakgrunnen for dette var </w:t>
      </w:r>
      <w:r w:rsidR="00C46214" w:rsidRPr="00C46214">
        <w:rPr>
          <w:rFonts w:asciiTheme="majorHAnsi" w:eastAsia="Times New Roman" w:hAnsiTheme="majorHAnsi" w:cstheme="majorHAnsi"/>
          <w:color w:val="333333"/>
          <w:lang w:eastAsia="nb-NO"/>
        </w:rPr>
        <w:t>omorganisering av den sentrale forvaltningen under Kunnskapsdepartementet</w:t>
      </w:r>
      <w:r w:rsidR="00C46214">
        <w:rPr>
          <w:rFonts w:asciiTheme="majorHAnsi" w:eastAsia="Times New Roman" w:hAnsiTheme="majorHAnsi" w:cstheme="majorHAnsi"/>
          <w:color w:val="333333"/>
          <w:lang w:eastAsia="nb-NO"/>
        </w:rPr>
        <w:t xml:space="preserve"> </w:t>
      </w:r>
      <w:r w:rsidR="00F97923">
        <w:rPr>
          <w:rFonts w:asciiTheme="majorHAnsi" w:eastAsia="Times New Roman" w:hAnsiTheme="majorHAnsi" w:cstheme="majorHAnsi"/>
          <w:color w:val="333333"/>
          <w:lang w:eastAsia="nb-NO"/>
        </w:rPr>
        <w:t>med påfølgende</w:t>
      </w:r>
      <w:r w:rsidR="00C46214">
        <w:rPr>
          <w:rFonts w:asciiTheme="majorHAnsi" w:eastAsia="Times New Roman" w:hAnsiTheme="majorHAnsi" w:cstheme="majorHAnsi"/>
          <w:color w:val="333333"/>
          <w:lang w:eastAsia="nb-NO"/>
        </w:rPr>
        <w:t xml:space="preserve"> overføring av</w:t>
      </w:r>
      <w:r w:rsidR="00C46214" w:rsidRPr="00C46214">
        <w:rPr>
          <w:rFonts w:asciiTheme="majorHAnsi" w:eastAsia="Times New Roman" w:hAnsiTheme="majorHAnsi" w:cstheme="majorHAnsi"/>
          <w:color w:val="333333"/>
          <w:lang w:eastAsia="nb-NO"/>
        </w:rPr>
        <w:t xml:space="preserve"> oppgaver og ansvar til NOKUT</w:t>
      </w:r>
      <w:r w:rsidR="00C46214">
        <w:rPr>
          <w:rFonts w:asciiTheme="majorHAnsi" w:eastAsia="Times New Roman" w:hAnsiTheme="majorHAnsi" w:cstheme="majorHAnsi"/>
          <w:color w:val="333333"/>
          <w:lang w:eastAsia="nb-NO"/>
        </w:rPr>
        <w:t>. F</w:t>
      </w:r>
      <w:r w:rsidR="00C46214" w:rsidRPr="00C46214">
        <w:rPr>
          <w:rFonts w:asciiTheme="majorHAnsi" w:eastAsia="Times New Roman" w:hAnsiTheme="majorHAnsi" w:cstheme="majorHAnsi"/>
          <w:color w:val="333333"/>
          <w:lang w:eastAsia="nb-NO"/>
        </w:rPr>
        <w:t>orutsetning</w:t>
      </w:r>
      <w:r w:rsidR="00C46214">
        <w:rPr>
          <w:rFonts w:asciiTheme="majorHAnsi" w:eastAsia="Times New Roman" w:hAnsiTheme="majorHAnsi" w:cstheme="majorHAnsi"/>
          <w:color w:val="333333"/>
          <w:lang w:eastAsia="nb-NO"/>
        </w:rPr>
        <w:t xml:space="preserve">en for at departementet skulle </w:t>
      </w:r>
      <w:r w:rsidR="00C46214" w:rsidRPr="00C46214">
        <w:rPr>
          <w:rFonts w:asciiTheme="majorHAnsi" w:eastAsia="Times New Roman" w:hAnsiTheme="majorHAnsi" w:cstheme="majorHAnsi"/>
          <w:color w:val="333333"/>
          <w:lang w:eastAsia="nb-NO"/>
        </w:rPr>
        <w:t>kunne</w:t>
      </w:r>
      <w:r w:rsidR="000254A5">
        <w:rPr>
          <w:rFonts w:asciiTheme="majorHAnsi" w:eastAsia="Times New Roman" w:hAnsiTheme="majorHAnsi" w:cstheme="majorHAnsi"/>
          <w:color w:val="333333"/>
          <w:lang w:eastAsia="nb-NO"/>
        </w:rPr>
        <w:t xml:space="preserve"> </w:t>
      </w:r>
      <w:r w:rsidR="00C46214" w:rsidRPr="00C46214">
        <w:rPr>
          <w:rFonts w:asciiTheme="majorHAnsi" w:eastAsia="Times New Roman" w:hAnsiTheme="majorHAnsi" w:cstheme="majorHAnsi"/>
          <w:color w:val="333333"/>
          <w:lang w:eastAsia="nb-NO"/>
        </w:rPr>
        <w:t xml:space="preserve">delegere flere forvaltningsoppgaver til NOKUT </w:t>
      </w:r>
      <w:r w:rsidR="00C46214">
        <w:rPr>
          <w:rFonts w:asciiTheme="majorHAnsi" w:eastAsia="Times New Roman" w:hAnsiTheme="majorHAnsi" w:cstheme="majorHAnsi"/>
          <w:color w:val="333333"/>
          <w:lang w:eastAsia="nb-NO"/>
        </w:rPr>
        <w:t xml:space="preserve">var </w:t>
      </w:r>
      <w:r w:rsidR="00C46214" w:rsidRPr="00C46214">
        <w:rPr>
          <w:rFonts w:asciiTheme="majorHAnsi" w:eastAsia="Times New Roman" w:hAnsiTheme="majorHAnsi" w:cstheme="majorHAnsi"/>
          <w:color w:val="333333"/>
          <w:lang w:eastAsia="nb-NO"/>
        </w:rPr>
        <w:t>at statsr</w:t>
      </w:r>
      <w:r w:rsidR="0001634C">
        <w:rPr>
          <w:rFonts w:asciiTheme="majorHAnsi" w:eastAsia="Times New Roman" w:hAnsiTheme="majorHAnsi" w:cstheme="majorHAnsi"/>
          <w:color w:val="333333"/>
          <w:lang w:eastAsia="nb-NO"/>
        </w:rPr>
        <w:t>åden i Kunnskapsdepartementet kunne</w:t>
      </w:r>
      <w:r w:rsidR="00C46214" w:rsidRPr="00C46214">
        <w:rPr>
          <w:rFonts w:asciiTheme="majorHAnsi" w:eastAsia="Times New Roman" w:hAnsiTheme="majorHAnsi" w:cstheme="majorHAnsi"/>
          <w:color w:val="333333"/>
          <w:lang w:eastAsia="nb-NO"/>
        </w:rPr>
        <w:t xml:space="preserve"> ivareta sitt konstitusjonelle ansvar for disse oppgavene gjennom mulighet for styring</w:t>
      </w:r>
      <w:r w:rsidR="00C46214">
        <w:rPr>
          <w:rFonts w:asciiTheme="majorHAnsi" w:eastAsia="Times New Roman" w:hAnsiTheme="majorHAnsi" w:cstheme="majorHAnsi"/>
          <w:color w:val="333333"/>
          <w:lang w:eastAsia="nb-NO"/>
        </w:rPr>
        <w:t xml:space="preserve">. </w:t>
      </w:r>
      <w:r w:rsidR="00C46214" w:rsidRPr="00C46214">
        <w:rPr>
          <w:rFonts w:asciiTheme="majorHAnsi" w:eastAsia="Times New Roman" w:hAnsiTheme="majorHAnsi" w:cstheme="majorHAnsi"/>
          <w:color w:val="333333"/>
          <w:lang w:eastAsia="nb-NO"/>
        </w:rPr>
        <w:t xml:space="preserve">Departementet viste </w:t>
      </w:r>
      <w:r w:rsidR="0001634C">
        <w:rPr>
          <w:rFonts w:asciiTheme="majorHAnsi" w:eastAsia="Times New Roman" w:hAnsiTheme="majorHAnsi" w:cstheme="majorHAnsi"/>
          <w:color w:val="333333"/>
          <w:lang w:eastAsia="nb-NO"/>
        </w:rPr>
        <w:t>i forarbeidene</w:t>
      </w:r>
      <w:r w:rsidR="0001634C">
        <w:rPr>
          <w:rStyle w:val="Fotnotereferanse"/>
          <w:rFonts w:asciiTheme="majorHAnsi" w:eastAsia="Times New Roman" w:hAnsiTheme="majorHAnsi" w:cstheme="majorHAnsi"/>
          <w:color w:val="333333"/>
          <w:lang w:eastAsia="nb-NO"/>
        </w:rPr>
        <w:footnoteReference w:id="2"/>
      </w:r>
      <w:r w:rsidR="0001634C">
        <w:rPr>
          <w:rFonts w:asciiTheme="majorHAnsi" w:eastAsia="Times New Roman" w:hAnsiTheme="majorHAnsi" w:cstheme="majorHAnsi"/>
          <w:color w:val="333333"/>
          <w:lang w:eastAsia="nb-NO"/>
        </w:rPr>
        <w:t xml:space="preserve"> </w:t>
      </w:r>
      <w:r w:rsidR="00C46214" w:rsidRPr="00C46214">
        <w:rPr>
          <w:rFonts w:asciiTheme="majorHAnsi" w:eastAsia="Times New Roman" w:hAnsiTheme="majorHAnsi" w:cstheme="majorHAnsi"/>
          <w:color w:val="333333"/>
          <w:lang w:eastAsia="nb-NO"/>
        </w:rPr>
        <w:t>til at dette må gjøres på en måte som ikke rokke</w:t>
      </w:r>
      <w:r w:rsidR="0001634C">
        <w:rPr>
          <w:rFonts w:asciiTheme="majorHAnsi" w:eastAsia="Times New Roman" w:hAnsiTheme="majorHAnsi" w:cstheme="majorHAnsi"/>
          <w:color w:val="333333"/>
          <w:lang w:eastAsia="nb-NO"/>
        </w:rPr>
        <w:t>t</w:t>
      </w:r>
      <w:r w:rsidR="00C46214" w:rsidRPr="00C46214">
        <w:rPr>
          <w:rFonts w:asciiTheme="majorHAnsi" w:eastAsia="Times New Roman" w:hAnsiTheme="majorHAnsi" w:cstheme="majorHAnsi"/>
          <w:color w:val="333333"/>
          <w:lang w:eastAsia="nb-NO"/>
        </w:rPr>
        <w:t xml:space="preserve"> ved NOKUTs uavhengighet i de lovpålagte oppgavene med akkreditering, evaluering og tilsyn med norske utdanninger og institusjoner</w:t>
      </w:r>
      <w:r w:rsidR="00F97923">
        <w:rPr>
          <w:rFonts w:asciiTheme="majorHAnsi" w:eastAsia="Times New Roman" w:hAnsiTheme="majorHAnsi" w:cstheme="majorHAnsi"/>
          <w:color w:val="333333"/>
          <w:lang w:eastAsia="nb-NO"/>
        </w:rPr>
        <w:t>,</w:t>
      </w:r>
      <w:r w:rsidR="00C46214" w:rsidRPr="00C46214">
        <w:rPr>
          <w:rFonts w:asciiTheme="majorHAnsi" w:eastAsia="Times New Roman" w:hAnsiTheme="majorHAnsi" w:cstheme="majorHAnsi"/>
          <w:color w:val="333333"/>
          <w:lang w:eastAsia="nb-NO"/>
        </w:rPr>
        <w:t xml:space="preserve"> samt generell godkjenning av</w:t>
      </w:r>
      <w:r w:rsidR="00750854">
        <w:rPr>
          <w:rFonts w:asciiTheme="majorHAnsi" w:eastAsia="Times New Roman" w:hAnsiTheme="majorHAnsi" w:cstheme="majorHAnsi"/>
          <w:color w:val="333333"/>
          <w:lang w:eastAsia="nb-NO"/>
        </w:rPr>
        <w:t xml:space="preserve"> utenlandsk utdanning.</w:t>
      </w:r>
    </w:p>
    <w:p w14:paraId="315BF1FE" w14:textId="77777777" w:rsidR="00FF5AA4" w:rsidRDefault="00FF5AA4" w:rsidP="00FF5AA4">
      <w:pPr>
        <w:spacing w:after="0" w:line="330" w:lineRule="atLeast"/>
        <w:textAlignment w:val="center"/>
        <w:rPr>
          <w:rFonts w:asciiTheme="majorHAnsi" w:eastAsia="Times New Roman" w:hAnsiTheme="majorHAnsi" w:cstheme="majorHAnsi"/>
          <w:color w:val="333333"/>
          <w:lang w:eastAsia="nb-NO"/>
        </w:rPr>
      </w:pPr>
    </w:p>
    <w:p w14:paraId="3E5AEB42" w14:textId="4CBBCB8B" w:rsidR="00016ED5" w:rsidRDefault="00E753BC" w:rsidP="00FF5AA4">
      <w:pPr>
        <w:spacing w:after="0" w:line="330" w:lineRule="atLeast"/>
        <w:textAlignment w:val="center"/>
        <w:rPr>
          <w:rFonts w:asciiTheme="majorHAnsi" w:eastAsia="Times New Roman" w:hAnsiTheme="majorHAnsi" w:cstheme="majorHAnsi"/>
          <w:color w:val="333333"/>
          <w:lang w:eastAsia="nb-NO"/>
        </w:rPr>
      </w:pPr>
      <w:r>
        <w:rPr>
          <w:rFonts w:asciiTheme="majorHAnsi" w:eastAsia="Times New Roman" w:hAnsiTheme="majorHAnsi" w:cstheme="majorHAnsi"/>
          <w:color w:val="333333"/>
          <w:lang w:eastAsia="nb-NO"/>
        </w:rPr>
        <w:t xml:space="preserve">Av forarbeidene fremgår det at departementet mente at </w:t>
      </w:r>
      <w:r w:rsidR="00C46214">
        <w:rPr>
          <w:rFonts w:asciiTheme="majorHAnsi" w:eastAsia="Times New Roman" w:hAnsiTheme="majorHAnsi" w:cstheme="majorHAnsi"/>
          <w:color w:val="333333"/>
          <w:lang w:eastAsia="nb-NO"/>
        </w:rPr>
        <w:t>«</w:t>
      </w:r>
      <w:r w:rsidR="00C46214" w:rsidRPr="00C46214">
        <w:rPr>
          <w:rFonts w:asciiTheme="majorHAnsi" w:eastAsia="Times New Roman" w:hAnsiTheme="majorHAnsi" w:cstheme="majorHAnsi"/>
          <w:i/>
          <w:color w:val="333333"/>
          <w:lang w:eastAsia="nb-NO"/>
        </w:rPr>
        <w:t>loven bør endres slik at det tydeligere kommer frem hvilke deler av NOKUTs virksomhet som er omfattet av departementets styringsmyndighet og konstitusjonelle ansvar, og hvilke deler som ikke er omfattet av dette ansvaret</w:t>
      </w:r>
      <w:r w:rsidR="00C46214">
        <w:rPr>
          <w:rFonts w:asciiTheme="majorHAnsi" w:eastAsia="Times New Roman" w:hAnsiTheme="majorHAnsi" w:cstheme="majorHAnsi"/>
          <w:color w:val="333333"/>
          <w:lang w:eastAsia="nb-NO"/>
        </w:rPr>
        <w:t>.»</w:t>
      </w:r>
      <w:r w:rsidR="00972D82">
        <w:rPr>
          <w:rStyle w:val="Fotnotereferanse"/>
          <w:rFonts w:asciiTheme="majorHAnsi" w:eastAsia="Times New Roman" w:hAnsiTheme="majorHAnsi" w:cstheme="majorHAnsi"/>
          <w:color w:val="333333"/>
          <w:lang w:eastAsia="nb-NO"/>
        </w:rPr>
        <w:footnoteReference w:id="3"/>
      </w:r>
      <w:r w:rsidR="00C46214">
        <w:rPr>
          <w:rFonts w:asciiTheme="majorHAnsi" w:eastAsia="Times New Roman" w:hAnsiTheme="majorHAnsi" w:cstheme="majorHAnsi"/>
          <w:color w:val="333333"/>
          <w:lang w:eastAsia="nb-NO"/>
        </w:rPr>
        <w:t xml:space="preserve"> </w:t>
      </w:r>
      <w:r w:rsidR="000B3FFA">
        <w:rPr>
          <w:rFonts w:asciiTheme="majorHAnsi" w:eastAsia="Times New Roman" w:hAnsiTheme="majorHAnsi" w:cstheme="majorHAnsi"/>
          <w:color w:val="333333"/>
          <w:lang w:eastAsia="nb-NO"/>
        </w:rPr>
        <w:t>Selv om det nå henvises til konkrete oppgaver i tredje og fjerde ledd, må uhl. § 2-1 første ledd</w:t>
      </w:r>
      <w:r w:rsidR="000B3FFA" w:rsidRPr="00C405F9">
        <w:rPr>
          <w:rFonts w:asciiTheme="majorHAnsi" w:eastAsia="Times New Roman" w:hAnsiTheme="majorHAnsi" w:cstheme="majorHAnsi"/>
          <w:color w:val="333333"/>
          <w:lang w:eastAsia="nb-NO"/>
        </w:rPr>
        <w:t xml:space="preserve"> </w:t>
      </w:r>
      <w:r w:rsidR="000B3FFA">
        <w:rPr>
          <w:rFonts w:asciiTheme="majorHAnsi" w:eastAsia="Times New Roman" w:hAnsiTheme="majorHAnsi" w:cstheme="majorHAnsi"/>
          <w:color w:val="333333"/>
          <w:lang w:eastAsia="nb-NO"/>
        </w:rPr>
        <w:t xml:space="preserve">kunne sies å nøye </w:t>
      </w:r>
      <w:r w:rsidR="000B3FFA" w:rsidRPr="00C405F9">
        <w:rPr>
          <w:rFonts w:asciiTheme="majorHAnsi" w:eastAsia="Times New Roman" w:hAnsiTheme="majorHAnsi" w:cstheme="majorHAnsi"/>
          <w:color w:val="333333"/>
          <w:lang w:eastAsia="nb-NO"/>
        </w:rPr>
        <w:t xml:space="preserve">seg med </w:t>
      </w:r>
      <w:r w:rsidR="000B3FFA">
        <w:rPr>
          <w:rFonts w:asciiTheme="majorHAnsi" w:eastAsia="Times New Roman" w:hAnsiTheme="majorHAnsi" w:cstheme="majorHAnsi"/>
          <w:color w:val="333333"/>
          <w:lang w:eastAsia="nb-NO"/>
        </w:rPr>
        <w:t xml:space="preserve">en forholdsvis generell </w:t>
      </w:r>
      <w:r w:rsidR="000B3FFA" w:rsidRPr="00C405F9">
        <w:rPr>
          <w:rFonts w:asciiTheme="majorHAnsi" w:eastAsia="Times New Roman" w:hAnsiTheme="majorHAnsi" w:cstheme="majorHAnsi"/>
          <w:color w:val="333333"/>
          <w:lang w:eastAsia="nb-NO"/>
        </w:rPr>
        <w:t xml:space="preserve">angivelse av </w:t>
      </w:r>
      <w:r w:rsidR="000B3FFA">
        <w:rPr>
          <w:rFonts w:asciiTheme="majorHAnsi" w:eastAsia="Times New Roman" w:hAnsiTheme="majorHAnsi" w:cstheme="majorHAnsi"/>
          <w:color w:val="333333"/>
          <w:lang w:eastAsia="nb-NO"/>
        </w:rPr>
        <w:t xml:space="preserve">den faglige </w:t>
      </w:r>
      <w:r w:rsidR="000B3FFA" w:rsidRPr="00C405F9">
        <w:rPr>
          <w:rFonts w:asciiTheme="majorHAnsi" w:eastAsia="Times New Roman" w:hAnsiTheme="majorHAnsi" w:cstheme="majorHAnsi"/>
          <w:color w:val="333333"/>
          <w:lang w:eastAsia="nb-NO"/>
        </w:rPr>
        <w:t>uavh</w:t>
      </w:r>
      <w:r w:rsidR="000B3FFA">
        <w:rPr>
          <w:rFonts w:asciiTheme="majorHAnsi" w:eastAsia="Times New Roman" w:hAnsiTheme="majorHAnsi" w:cstheme="majorHAnsi"/>
          <w:color w:val="333333"/>
          <w:lang w:eastAsia="nb-NO"/>
        </w:rPr>
        <w:t xml:space="preserve">engigheten. </w:t>
      </w:r>
      <w:r>
        <w:rPr>
          <w:rFonts w:asciiTheme="majorHAnsi" w:eastAsia="Times New Roman" w:hAnsiTheme="majorHAnsi" w:cstheme="majorHAnsi"/>
          <w:color w:val="333333"/>
          <w:lang w:eastAsia="nb-NO"/>
        </w:rPr>
        <w:t xml:space="preserve">Slik bestemmelsen er formulert nå fremgår det hvilke deler av NOKUTs virksomhet som ikke er omfattet av departementets styringsmyndighet og konstitusjonelle ansvar, men ikke hva </w:t>
      </w:r>
      <w:r w:rsidR="00946C41">
        <w:rPr>
          <w:rFonts w:asciiTheme="majorHAnsi" w:eastAsia="Times New Roman" w:hAnsiTheme="majorHAnsi" w:cstheme="majorHAnsi"/>
          <w:color w:val="333333"/>
          <w:lang w:eastAsia="nb-NO"/>
        </w:rPr>
        <w:t xml:space="preserve">denne </w:t>
      </w:r>
      <w:r>
        <w:rPr>
          <w:rFonts w:asciiTheme="majorHAnsi" w:eastAsia="Times New Roman" w:hAnsiTheme="majorHAnsi" w:cstheme="majorHAnsi"/>
          <w:color w:val="333333"/>
          <w:lang w:eastAsia="nb-NO"/>
        </w:rPr>
        <w:t>uavhengigheten består</w:t>
      </w:r>
      <w:r w:rsidR="00192065">
        <w:rPr>
          <w:rFonts w:asciiTheme="majorHAnsi" w:eastAsia="Times New Roman" w:hAnsiTheme="majorHAnsi" w:cstheme="majorHAnsi"/>
          <w:color w:val="333333"/>
          <w:lang w:eastAsia="nb-NO"/>
        </w:rPr>
        <w:t xml:space="preserve"> i</w:t>
      </w:r>
      <w:r>
        <w:rPr>
          <w:rFonts w:asciiTheme="majorHAnsi" w:eastAsia="Times New Roman" w:hAnsiTheme="majorHAnsi" w:cstheme="majorHAnsi"/>
          <w:color w:val="333333"/>
          <w:lang w:eastAsia="nb-NO"/>
        </w:rPr>
        <w:t xml:space="preserve"> for disse </w:t>
      </w:r>
      <w:r w:rsidR="007D3908">
        <w:rPr>
          <w:rFonts w:asciiTheme="majorHAnsi" w:eastAsia="Times New Roman" w:hAnsiTheme="majorHAnsi" w:cstheme="majorHAnsi"/>
          <w:color w:val="333333"/>
          <w:lang w:eastAsia="nb-NO"/>
        </w:rPr>
        <w:t>oppgavene</w:t>
      </w:r>
      <w:r>
        <w:rPr>
          <w:rFonts w:asciiTheme="majorHAnsi" w:eastAsia="Times New Roman" w:hAnsiTheme="majorHAnsi" w:cstheme="majorHAnsi"/>
          <w:color w:val="333333"/>
          <w:lang w:eastAsia="nb-NO"/>
        </w:rPr>
        <w:t xml:space="preserve">. </w:t>
      </w:r>
      <w:r w:rsidR="00FF5AA4">
        <w:rPr>
          <w:rFonts w:asciiTheme="majorHAnsi" w:eastAsia="Times New Roman" w:hAnsiTheme="majorHAnsi" w:cstheme="majorHAnsi"/>
          <w:color w:val="333333"/>
          <w:lang w:eastAsia="nb-NO"/>
        </w:rPr>
        <w:t xml:space="preserve">NOKUT mener på denne bakgrunn at det bør </w:t>
      </w:r>
      <w:r w:rsidR="000B3FFA">
        <w:rPr>
          <w:rFonts w:asciiTheme="majorHAnsi" w:eastAsia="Times New Roman" w:hAnsiTheme="majorHAnsi" w:cstheme="majorHAnsi"/>
          <w:color w:val="333333"/>
          <w:lang w:eastAsia="nb-NO"/>
        </w:rPr>
        <w:t xml:space="preserve">kommer </w:t>
      </w:r>
      <w:r>
        <w:rPr>
          <w:rFonts w:asciiTheme="majorHAnsi" w:eastAsia="Times New Roman" w:hAnsiTheme="majorHAnsi" w:cstheme="majorHAnsi"/>
          <w:color w:val="333333"/>
          <w:lang w:eastAsia="nb-NO"/>
        </w:rPr>
        <w:t xml:space="preserve">tydeligere </w:t>
      </w:r>
      <w:r w:rsidR="000B3FFA">
        <w:rPr>
          <w:rFonts w:asciiTheme="majorHAnsi" w:eastAsia="Times New Roman" w:hAnsiTheme="majorHAnsi" w:cstheme="majorHAnsi"/>
          <w:color w:val="333333"/>
          <w:lang w:eastAsia="nb-NO"/>
        </w:rPr>
        <w:t xml:space="preserve">i </w:t>
      </w:r>
      <w:r>
        <w:rPr>
          <w:rFonts w:asciiTheme="majorHAnsi" w:eastAsia="Times New Roman" w:hAnsiTheme="majorHAnsi" w:cstheme="majorHAnsi"/>
          <w:color w:val="333333"/>
          <w:lang w:eastAsia="nb-NO"/>
        </w:rPr>
        <w:t xml:space="preserve">frem </w:t>
      </w:r>
      <w:r w:rsidR="00FF5AA4">
        <w:rPr>
          <w:rFonts w:asciiTheme="majorHAnsi" w:eastAsia="Times New Roman" w:hAnsiTheme="majorHAnsi" w:cstheme="majorHAnsi"/>
          <w:color w:val="333333"/>
          <w:lang w:eastAsia="nb-NO"/>
        </w:rPr>
        <w:t>hva som ligger i uavhengigheten til</w:t>
      </w:r>
      <w:r>
        <w:rPr>
          <w:rFonts w:asciiTheme="majorHAnsi" w:eastAsia="Times New Roman" w:hAnsiTheme="majorHAnsi" w:cstheme="majorHAnsi"/>
          <w:color w:val="333333"/>
          <w:lang w:eastAsia="nb-NO"/>
        </w:rPr>
        <w:t>knyttet</w:t>
      </w:r>
      <w:r w:rsidR="00FF5AA4">
        <w:rPr>
          <w:rFonts w:asciiTheme="majorHAnsi" w:eastAsia="Times New Roman" w:hAnsiTheme="majorHAnsi" w:cstheme="majorHAnsi"/>
          <w:color w:val="333333"/>
          <w:lang w:eastAsia="nb-NO"/>
        </w:rPr>
        <w:t xml:space="preserve"> de ulike sidene ved NOKUTs virksomhet. </w:t>
      </w:r>
      <w:r w:rsidR="00FF5AA4" w:rsidRPr="007A57CD">
        <w:rPr>
          <w:rFonts w:asciiTheme="majorHAnsi" w:eastAsia="Times New Roman" w:hAnsiTheme="majorHAnsi" w:cstheme="majorHAnsi"/>
          <w:color w:val="333333"/>
          <w:lang w:eastAsia="nb-NO"/>
        </w:rPr>
        <w:t>Konsekvensene b</w:t>
      </w:r>
      <w:r w:rsidR="00FF5AA4">
        <w:rPr>
          <w:rFonts w:asciiTheme="majorHAnsi" w:eastAsia="Times New Roman" w:hAnsiTheme="majorHAnsi" w:cstheme="majorHAnsi"/>
          <w:color w:val="333333"/>
          <w:lang w:eastAsia="nb-NO"/>
        </w:rPr>
        <w:t>ør være gjennomtenkte, og det bør</w:t>
      </w:r>
      <w:r w:rsidR="00FF5AA4" w:rsidRPr="007A57CD">
        <w:rPr>
          <w:rFonts w:asciiTheme="majorHAnsi" w:eastAsia="Times New Roman" w:hAnsiTheme="majorHAnsi" w:cstheme="majorHAnsi"/>
          <w:color w:val="333333"/>
          <w:lang w:eastAsia="nb-NO"/>
        </w:rPr>
        <w:t xml:space="preserve"> sørges for en klar og holdbar rettslig regulering som er egnet til å løse </w:t>
      </w:r>
      <w:r w:rsidR="00FF5AA4">
        <w:rPr>
          <w:rFonts w:asciiTheme="majorHAnsi" w:eastAsia="Times New Roman" w:hAnsiTheme="majorHAnsi" w:cstheme="majorHAnsi"/>
          <w:color w:val="333333"/>
          <w:lang w:eastAsia="nb-NO"/>
        </w:rPr>
        <w:t xml:space="preserve">eventuelle problemstillinger dersom dette </w:t>
      </w:r>
      <w:r w:rsidR="00FF5AA4" w:rsidRPr="007A57CD">
        <w:rPr>
          <w:rFonts w:asciiTheme="majorHAnsi" w:eastAsia="Times New Roman" w:hAnsiTheme="majorHAnsi" w:cstheme="majorHAnsi"/>
          <w:color w:val="333333"/>
          <w:lang w:eastAsia="nb-NO"/>
        </w:rPr>
        <w:t>kommer på spissen.</w:t>
      </w:r>
      <w:r w:rsidR="00853BE7" w:rsidRPr="00853BE7">
        <w:t xml:space="preserve"> </w:t>
      </w:r>
    </w:p>
    <w:p w14:paraId="5A871E0B" w14:textId="4A3FAD87" w:rsidR="00016ED5" w:rsidRPr="00C405F9" w:rsidRDefault="00016ED5" w:rsidP="00016ED5">
      <w:pPr>
        <w:pStyle w:val="Overskrift1"/>
        <w:numPr>
          <w:ilvl w:val="1"/>
          <w:numId w:val="2"/>
        </w:numPr>
        <w:rPr>
          <w:rFonts w:eastAsia="Times New Roman" w:cstheme="majorHAnsi"/>
          <w:sz w:val="22"/>
          <w:szCs w:val="22"/>
          <w:lang w:eastAsia="nb-NO"/>
        </w:rPr>
      </w:pPr>
      <w:bookmarkStart w:id="4" w:name="_Toc9835491"/>
      <w:r>
        <w:rPr>
          <w:rFonts w:eastAsia="Times New Roman" w:cstheme="majorHAnsi"/>
          <w:sz w:val="22"/>
          <w:szCs w:val="22"/>
          <w:lang w:eastAsia="nb-NO"/>
        </w:rPr>
        <w:t>NOKUTs formål</w:t>
      </w:r>
      <w:bookmarkEnd w:id="4"/>
    </w:p>
    <w:p w14:paraId="0C98816A" w14:textId="77777777" w:rsidR="00016ED5" w:rsidRPr="006132F0" w:rsidRDefault="00016ED5" w:rsidP="006132F0">
      <w:pPr>
        <w:spacing w:after="0" w:line="330" w:lineRule="atLeast"/>
        <w:textAlignment w:val="center"/>
        <w:rPr>
          <w:rFonts w:asciiTheme="majorHAnsi" w:eastAsia="Times New Roman" w:hAnsiTheme="majorHAnsi" w:cstheme="majorHAnsi"/>
          <w:b/>
          <w:color w:val="333333"/>
          <w:lang w:eastAsia="nb-NO"/>
        </w:rPr>
      </w:pPr>
      <w:r w:rsidRPr="006132F0">
        <w:rPr>
          <w:rFonts w:asciiTheme="majorHAnsi" w:eastAsia="Times New Roman" w:hAnsiTheme="majorHAnsi" w:cstheme="majorHAnsi"/>
          <w:b/>
          <w:color w:val="333333"/>
          <w:lang w:eastAsia="nb-NO"/>
        </w:rPr>
        <w:t>Gjeldende rett</w:t>
      </w:r>
    </w:p>
    <w:p w14:paraId="51A964D2" w14:textId="77777777" w:rsidR="00016ED5" w:rsidRDefault="00016ED5" w:rsidP="00016ED5">
      <w:pPr>
        <w:spacing w:after="0" w:line="330" w:lineRule="atLeast"/>
        <w:textAlignment w:val="center"/>
        <w:rPr>
          <w:rFonts w:asciiTheme="majorHAnsi" w:eastAsia="Times New Roman" w:hAnsiTheme="majorHAnsi" w:cstheme="majorHAnsi"/>
          <w:color w:val="333333"/>
          <w:lang w:eastAsia="nb-NO"/>
        </w:rPr>
      </w:pPr>
      <w:r>
        <w:rPr>
          <w:rFonts w:asciiTheme="majorHAnsi" w:eastAsia="Times New Roman" w:hAnsiTheme="majorHAnsi" w:cstheme="majorHAnsi"/>
          <w:color w:val="333333"/>
          <w:lang w:eastAsia="nb-NO"/>
        </w:rPr>
        <w:t>I § 2-1 annet ledd fastslås det at formålet med NOKUTs virksomhet er å «</w:t>
      </w:r>
      <w:r w:rsidRPr="00BD5070">
        <w:rPr>
          <w:rFonts w:asciiTheme="majorHAnsi" w:eastAsia="Times New Roman" w:hAnsiTheme="majorHAnsi" w:cstheme="majorHAnsi"/>
          <w:i/>
          <w:color w:val="333333"/>
          <w:lang w:eastAsia="nb-NO"/>
        </w:rPr>
        <w:t>føre tilsyn med kvaliteten i høyere utdanning og fagskoleutdanning, gi generell godkjenning av utenlandsk høyere utdanning, og å stimulere til kvalitetsutvikling som sikrer et høyt internasjonalt nivå i utdanningstilbudene ved institusjonene</w:t>
      </w:r>
      <w:r w:rsidRPr="00BD5070">
        <w:rPr>
          <w:rFonts w:asciiTheme="majorHAnsi" w:eastAsia="Times New Roman" w:hAnsiTheme="majorHAnsi" w:cstheme="majorHAnsi"/>
          <w:color w:val="333333"/>
          <w:lang w:eastAsia="nb-NO"/>
        </w:rPr>
        <w:t>.</w:t>
      </w:r>
      <w:r>
        <w:rPr>
          <w:rFonts w:asciiTheme="majorHAnsi" w:eastAsia="Times New Roman" w:hAnsiTheme="majorHAnsi" w:cstheme="majorHAnsi"/>
          <w:color w:val="333333"/>
          <w:lang w:eastAsia="nb-NO"/>
        </w:rPr>
        <w:t xml:space="preserve">» </w:t>
      </w:r>
      <w:r w:rsidRPr="00BD5070">
        <w:rPr>
          <w:rFonts w:asciiTheme="majorHAnsi" w:eastAsia="Times New Roman" w:hAnsiTheme="majorHAnsi" w:cstheme="majorHAnsi"/>
          <w:color w:val="333333"/>
          <w:lang w:eastAsia="nb-NO"/>
        </w:rPr>
        <w:t xml:space="preserve"> </w:t>
      </w:r>
      <w:r>
        <w:rPr>
          <w:rFonts w:asciiTheme="majorHAnsi" w:eastAsia="Times New Roman" w:hAnsiTheme="majorHAnsi" w:cstheme="majorHAnsi"/>
          <w:color w:val="333333"/>
          <w:lang w:eastAsia="nb-NO"/>
        </w:rPr>
        <w:t xml:space="preserve">I tillegg fremkommer det at </w:t>
      </w:r>
      <w:r w:rsidRPr="00BD5070">
        <w:rPr>
          <w:rFonts w:asciiTheme="majorHAnsi" w:eastAsia="Times New Roman" w:hAnsiTheme="majorHAnsi" w:cstheme="majorHAnsi"/>
          <w:color w:val="333333"/>
          <w:lang w:eastAsia="nb-NO"/>
        </w:rPr>
        <w:t xml:space="preserve">NOKUTs arbeid skal bidra til at </w:t>
      </w:r>
      <w:r>
        <w:rPr>
          <w:rFonts w:asciiTheme="majorHAnsi" w:eastAsia="Times New Roman" w:hAnsiTheme="majorHAnsi" w:cstheme="majorHAnsi"/>
          <w:color w:val="333333"/>
          <w:lang w:eastAsia="nb-NO"/>
        </w:rPr>
        <w:t>«</w:t>
      </w:r>
      <w:r w:rsidRPr="00BD5070">
        <w:rPr>
          <w:rFonts w:asciiTheme="majorHAnsi" w:eastAsia="Times New Roman" w:hAnsiTheme="majorHAnsi" w:cstheme="majorHAnsi"/>
          <w:i/>
          <w:color w:val="333333"/>
          <w:lang w:eastAsia="nb-NO"/>
        </w:rPr>
        <w:t>samfunnet kan ha tillit til kvaliteten i norsk høyere utdanning, fagskoleutdanning og godkjent høyere utenlandsk utdanning. I sitt arbeid skal NOKUT søke å bistå institusjonene i deres utviklingsarbeid</w:t>
      </w:r>
      <w:r>
        <w:rPr>
          <w:rFonts w:asciiTheme="majorHAnsi" w:eastAsia="Times New Roman" w:hAnsiTheme="majorHAnsi" w:cstheme="majorHAnsi"/>
          <w:color w:val="333333"/>
          <w:lang w:eastAsia="nb-NO"/>
        </w:rPr>
        <w:t xml:space="preserve">.» </w:t>
      </w:r>
    </w:p>
    <w:p w14:paraId="6A8DB7A9" w14:textId="77777777" w:rsidR="00016ED5" w:rsidRPr="00C405F9" w:rsidRDefault="00016ED5" w:rsidP="00016ED5">
      <w:pPr>
        <w:spacing w:after="0" w:line="330" w:lineRule="atLeast"/>
        <w:textAlignment w:val="center"/>
        <w:rPr>
          <w:rFonts w:asciiTheme="majorHAnsi" w:eastAsia="Times New Roman" w:hAnsiTheme="majorHAnsi" w:cstheme="majorHAnsi"/>
          <w:color w:val="333333"/>
          <w:lang w:eastAsia="nb-NO"/>
        </w:rPr>
      </w:pPr>
    </w:p>
    <w:p w14:paraId="59CBB366" w14:textId="77777777" w:rsidR="00016ED5" w:rsidRPr="006132F0" w:rsidRDefault="00016ED5" w:rsidP="006132F0">
      <w:pPr>
        <w:spacing w:after="0" w:line="330" w:lineRule="atLeast"/>
        <w:textAlignment w:val="center"/>
        <w:rPr>
          <w:rFonts w:asciiTheme="majorHAnsi" w:eastAsia="Times New Roman" w:hAnsiTheme="majorHAnsi" w:cstheme="majorHAnsi"/>
          <w:b/>
          <w:color w:val="333333"/>
          <w:lang w:eastAsia="nb-NO"/>
        </w:rPr>
      </w:pPr>
      <w:r w:rsidRPr="006132F0">
        <w:rPr>
          <w:rFonts w:asciiTheme="majorHAnsi" w:eastAsia="Times New Roman" w:hAnsiTheme="majorHAnsi" w:cstheme="majorHAnsi"/>
          <w:b/>
          <w:color w:val="333333"/>
          <w:lang w:eastAsia="nb-NO"/>
        </w:rPr>
        <w:t>NOKUTs vurdering og forslag</w:t>
      </w:r>
    </w:p>
    <w:p w14:paraId="35CCA352" w14:textId="1D71F963" w:rsidR="000061F6" w:rsidRDefault="00016ED5" w:rsidP="00016ED5">
      <w:pPr>
        <w:spacing w:after="0" w:line="330" w:lineRule="atLeast"/>
        <w:textAlignment w:val="center"/>
        <w:rPr>
          <w:rFonts w:asciiTheme="majorHAnsi" w:eastAsia="Times New Roman" w:hAnsiTheme="majorHAnsi" w:cstheme="majorHAnsi"/>
          <w:color w:val="333333"/>
          <w:lang w:eastAsia="nb-NO"/>
        </w:rPr>
      </w:pPr>
      <w:r w:rsidRPr="00C405F9">
        <w:rPr>
          <w:rFonts w:asciiTheme="majorHAnsi" w:eastAsia="Times New Roman" w:hAnsiTheme="majorHAnsi" w:cstheme="majorHAnsi"/>
          <w:color w:val="333333"/>
          <w:lang w:eastAsia="nb-NO"/>
        </w:rPr>
        <w:t xml:space="preserve">I bestemmelsens andre ledd fremgår det hva formålet med NOKUTs virksomhet er. Begrepet «formål» viser for øvrig gjerne til hensikten eller meningen med noe snarere enn resultatet. Oppramsingen i første setning </w:t>
      </w:r>
      <w:r w:rsidR="00F97923">
        <w:rPr>
          <w:rFonts w:asciiTheme="majorHAnsi" w:eastAsia="Times New Roman" w:hAnsiTheme="majorHAnsi" w:cstheme="majorHAnsi"/>
          <w:color w:val="333333"/>
          <w:lang w:eastAsia="nb-NO"/>
        </w:rPr>
        <w:t>er imidlertid en angivelse</w:t>
      </w:r>
      <w:r w:rsidR="00D84094">
        <w:rPr>
          <w:rFonts w:asciiTheme="majorHAnsi" w:eastAsia="Times New Roman" w:hAnsiTheme="majorHAnsi" w:cstheme="majorHAnsi"/>
          <w:color w:val="333333"/>
          <w:lang w:eastAsia="nb-NO"/>
        </w:rPr>
        <w:t xml:space="preserve"> av</w:t>
      </w:r>
      <w:r w:rsidRPr="00C405F9">
        <w:rPr>
          <w:rFonts w:asciiTheme="majorHAnsi" w:eastAsia="Times New Roman" w:hAnsiTheme="majorHAnsi" w:cstheme="majorHAnsi"/>
          <w:color w:val="333333"/>
          <w:lang w:eastAsia="nb-NO"/>
        </w:rPr>
        <w:t xml:space="preserve"> de konkr</w:t>
      </w:r>
      <w:r>
        <w:rPr>
          <w:rFonts w:asciiTheme="majorHAnsi" w:eastAsia="Times New Roman" w:hAnsiTheme="majorHAnsi" w:cstheme="majorHAnsi"/>
          <w:color w:val="333333"/>
          <w:lang w:eastAsia="nb-NO"/>
        </w:rPr>
        <w:t>ete oppgavene NOKUT skal utføre</w:t>
      </w:r>
      <w:r w:rsidR="00F97923">
        <w:rPr>
          <w:rFonts w:asciiTheme="majorHAnsi" w:eastAsia="Times New Roman" w:hAnsiTheme="majorHAnsi" w:cstheme="majorHAnsi"/>
          <w:color w:val="333333"/>
          <w:lang w:eastAsia="nb-NO"/>
        </w:rPr>
        <w:t>, og ikke etter sitt innhold en beskrivelse av formål</w:t>
      </w:r>
      <w:r>
        <w:rPr>
          <w:rFonts w:asciiTheme="majorHAnsi" w:eastAsia="Times New Roman" w:hAnsiTheme="majorHAnsi" w:cstheme="majorHAnsi"/>
          <w:color w:val="333333"/>
          <w:lang w:eastAsia="nb-NO"/>
        </w:rPr>
        <w:t>. I bestemmelsens andre setning fremgår derimot det som i større grad kan sies å være NOKUTs overordnede samfunnsoppdrag</w:t>
      </w:r>
      <w:r w:rsidR="00482D64">
        <w:rPr>
          <w:rFonts w:asciiTheme="majorHAnsi" w:eastAsia="Times New Roman" w:hAnsiTheme="majorHAnsi" w:cstheme="majorHAnsi"/>
          <w:color w:val="333333"/>
          <w:lang w:eastAsia="nb-NO"/>
        </w:rPr>
        <w:t xml:space="preserve"> og</w:t>
      </w:r>
      <w:r w:rsidR="002A37D0">
        <w:rPr>
          <w:rFonts w:asciiTheme="majorHAnsi" w:eastAsia="Times New Roman" w:hAnsiTheme="majorHAnsi" w:cstheme="majorHAnsi"/>
          <w:color w:val="333333"/>
          <w:lang w:eastAsia="nb-NO"/>
        </w:rPr>
        <w:t xml:space="preserve"> dermed</w:t>
      </w:r>
      <w:r w:rsidR="00482D64">
        <w:rPr>
          <w:rFonts w:asciiTheme="majorHAnsi" w:eastAsia="Times New Roman" w:hAnsiTheme="majorHAnsi" w:cstheme="majorHAnsi"/>
          <w:color w:val="333333"/>
          <w:lang w:eastAsia="nb-NO"/>
        </w:rPr>
        <w:t xml:space="preserve"> </w:t>
      </w:r>
      <w:r>
        <w:rPr>
          <w:rFonts w:asciiTheme="majorHAnsi" w:eastAsia="Times New Roman" w:hAnsiTheme="majorHAnsi" w:cstheme="majorHAnsi"/>
          <w:color w:val="333333"/>
          <w:lang w:eastAsia="nb-NO"/>
        </w:rPr>
        <w:t>formål, jf. «</w:t>
      </w:r>
      <w:r w:rsidRPr="005435ED">
        <w:rPr>
          <w:rFonts w:asciiTheme="majorHAnsi" w:eastAsia="Times New Roman" w:hAnsiTheme="majorHAnsi" w:cstheme="majorHAnsi"/>
          <w:i/>
          <w:color w:val="333333"/>
          <w:lang w:eastAsia="nb-NO"/>
        </w:rPr>
        <w:t>NOKUTs arbeid skal bidra til at samfunnet kan ha tillit til kvaliteten i norsk høyere utdanning, fagskoleutdanning og godkjent høyere utenlandsk utdanning</w:t>
      </w:r>
      <w:r>
        <w:rPr>
          <w:rFonts w:asciiTheme="majorHAnsi" w:eastAsia="Times New Roman" w:hAnsiTheme="majorHAnsi" w:cstheme="majorHAnsi"/>
          <w:color w:val="333333"/>
          <w:lang w:eastAsia="nb-NO"/>
        </w:rPr>
        <w:t xml:space="preserve">». </w:t>
      </w:r>
      <w:r w:rsidR="004A5BC6">
        <w:rPr>
          <w:rFonts w:asciiTheme="majorHAnsi" w:eastAsia="Times New Roman" w:hAnsiTheme="majorHAnsi" w:cstheme="majorHAnsi"/>
          <w:color w:val="333333"/>
          <w:lang w:eastAsia="nb-NO"/>
        </w:rPr>
        <w:t xml:space="preserve">Dette skal NOKUT gjøre gjennom å </w:t>
      </w:r>
      <w:r w:rsidR="004A5BC6" w:rsidRPr="004A5BC6">
        <w:rPr>
          <w:rFonts w:asciiTheme="majorHAnsi" w:eastAsia="Times New Roman" w:hAnsiTheme="majorHAnsi" w:cstheme="majorHAnsi"/>
          <w:color w:val="333333"/>
          <w:lang w:eastAsia="nb-NO"/>
        </w:rPr>
        <w:t xml:space="preserve">bidra til at alle </w:t>
      </w:r>
      <w:r w:rsidR="004A5BC6" w:rsidRPr="004A5BC6">
        <w:rPr>
          <w:rFonts w:asciiTheme="majorHAnsi" w:eastAsia="Times New Roman" w:hAnsiTheme="majorHAnsi" w:cstheme="majorHAnsi"/>
          <w:color w:val="333333"/>
          <w:lang w:eastAsia="nb-NO"/>
        </w:rPr>
        <w:lastRenderedPageBreak/>
        <w:t>utdanninger ved universiteter, høyskoler og fagskoler tilfredsstiller nasjonale kvalitetskrav, og at flest mulig holder høyt internasjonalt nivå</w:t>
      </w:r>
      <w:r w:rsidR="004A5BC6">
        <w:rPr>
          <w:rFonts w:asciiTheme="majorHAnsi" w:eastAsia="Times New Roman" w:hAnsiTheme="majorHAnsi" w:cstheme="majorHAnsi"/>
          <w:color w:val="333333"/>
          <w:lang w:eastAsia="nb-NO"/>
        </w:rPr>
        <w:t xml:space="preserve">. </w:t>
      </w:r>
    </w:p>
    <w:p w14:paraId="1CD4EBAA" w14:textId="77777777" w:rsidR="000061F6" w:rsidRDefault="000061F6" w:rsidP="00016ED5">
      <w:pPr>
        <w:spacing w:after="0" w:line="330" w:lineRule="atLeast"/>
        <w:textAlignment w:val="center"/>
        <w:rPr>
          <w:rFonts w:asciiTheme="majorHAnsi" w:eastAsia="Times New Roman" w:hAnsiTheme="majorHAnsi" w:cstheme="majorHAnsi"/>
          <w:color w:val="333333"/>
          <w:lang w:eastAsia="nb-NO"/>
        </w:rPr>
      </w:pPr>
    </w:p>
    <w:p w14:paraId="76AE2432" w14:textId="06A25649" w:rsidR="00016ED5" w:rsidRDefault="00016ED5" w:rsidP="00016ED5">
      <w:pPr>
        <w:spacing w:after="0" w:line="330" w:lineRule="atLeast"/>
        <w:textAlignment w:val="center"/>
        <w:rPr>
          <w:rFonts w:asciiTheme="majorHAnsi" w:eastAsia="Times New Roman" w:hAnsiTheme="majorHAnsi" w:cstheme="majorHAnsi"/>
          <w:color w:val="333333"/>
          <w:lang w:eastAsia="nb-NO"/>
        </w:rPr>
      </w:pPr>
      <w:r>
        <w:rPr>
          <w:rFonts w:asciiTheme="majorHAnsi" w:eastAsia="Times New Roman" w:hAnsiTheme="majorHAnsi" w:cstheme="majorHAnsi"/>
          <w:color w:val="333333"/>
          <w:lang w:eastAsia="nb-NO"/>
        </w:rPr>
        <w:t>Siste setning i uhl. § 2-1 annet ledd, jf. «</w:t>
      </w:r>
      <w:r w:rsidRPr="0061147B">
        <w:rPr>
          <w:rFonts w:asciiTheme="majorHAnsi" w:eastAsia="Times New Roman" w:hAnsiTheme="majorHAnsi" w:cstheme="majorHAnsi"/>
          <w:i/>
          <w:color w:val="333333"/>
          <w:lang w:eastAsia="nb-NO"/>
        </w:rPr>
        <w:t>I sitt arbeid skal NOKUT søke å bistå institusjonene i deres utviklingsarbeid</w:t>
      </w:r>
      <w:r>
        <w:rPr>
          <w:rFonts w:asciiTheme="majorHAnsi" w:eastAsia="Times New Roman" w:hAnsiTheme="majorHAnsi" w:cstheme="majorHAnsi"/>
          <w:color w:val="333333"/>
          <w:lang w:eastAsia="nb-NO"/>
        </w:rPr>
        <w:t>», knytter seg derimot mer til NOKUTs gjennomføring av de lovpålagte oppgaver</w:t>
      </w:r>
      <w:r w:rsidR="00037171">
        <w:rPr>
          <w:rFonts w:asciiTheme="majorHAnsi" w:eastAsia="Times New Roman" w:hAnsiTheme="majorHAnsi" w:cstheme="majorHAnsi"/>
          <w:color w:val="333333"/>
          <w:lang w:eastAsia="nb-NO"/>
        </w:rPr>
        <w:t xml:space="preserve"> og bør således stå i direkte tilknytning til disse</w:t>
      </w:r>
      <w:r>
        <w:rPr>
          <w:rFonts w:asciiTheme="majorHAnsi" w:eastAsia="Times New Roman" w:hAnsiTheme="majorHAnsi" w:cstheme="majorHAnsi"/>
          <w:color w:val="333333"/>
          <w:lang w:eastAsia="nb-NO"/>
        </w:rPr>
        <w:t xml:space="preserve">. </w:t>
      </w:r>
    </w:p>
    <w:p w14:paraId="11AF91B2" w14:textId="77777777" w:rsidR="00016ED5" w:rsidRDefault="00016ED5" w:rsidP="00016ED5">
      <w:pPr>
        <w:spacing w:after="0" w:line="330" w:lineRule="atLeast"/>
        <w:textAlignment w:val="center"/>
        <w:rPr>
          <w:rFonts w:asciiTheme="majorHAnsi" w:eastAsia="Times New Roman" w:hAnsiTheme="majorHAnsi" w:cstheme="majorHAnsi"/>
          <w:color w:val="333333"/>
          <w:lang w:eastAsia="nb-NO"/>
        </w:rPr>
      </w:pPr>
    </w:p>
    <w:p w14:paraId="2B4E0CBC" w14:textId="17CCDA4E" w:rsidR="00016ED5" w:rsidRDefault="001A19DC" w:rsidP="00FF5AA4">
      <w:pPr>
        <w:spacing w:after="0" w:line="330" w:lineRule="atLeast"/>
        <w:textAlignment w:val="center"/>
        <w:rPr>
          <w:rFonts w:asciiTheme="majorHAnsi" w:eastAsia="Times New Roman" w:hAnsiTheme="majorHAnsi" w:cstheme="majorHAnsi"/>
          <w:color w:val="333333"/>
          <w:lang w:eastAsia="nb-NO"/>
        </w:rPr>
      </w:pPr>
      <w:r>
        <w:rPr>
          <w:rFonts w:asciiTheme="majorHAnsi" w:eastAsia="Times New Roman" w:hAnsiTheme="majorHAnsi" w:cstheme="majorHAnsi"/>
          <w:color w:val="333333"/>
          <w:lang w:eastAsia="nb-NO"/>
        </w:rPr>
        <w:t>A</w:t>
      </w:r>
      <w:r w:rsidR="00A7197B">
        <w:rPr>
          <w:rFonts w:asciiTheme="majorHAnsi" w:eastAsia="Times New Roman" w:hAnsiTheme="majorHAnsi" w:cstheme="majorHAnsi"/>
          <w:color w:val="333333"/>
          <w:lang w:eastAsia="nb-NO"/>
        </w:rPr>
        <w:t xml:space="preserve">v forarbeidene </w:t>
      </w:r>
      <w:r>
        <w:rPr>
          <w:rFonts w:asciiTheme="majorHAnsi" w:eastAsia="Times New Roman" w:hAnsiTheme="majorHAnsi" w:cstheme="majorHAnsi"/>
          <w:color w:val="333333"/>
          <w:lang w:eastAsia="nb-NO"/>
        </w:rPr>
        <w:t xml:space="preserve">fremgår det </w:t>
      </w:r>
      <w:r w:rsidR="00A7197B" w:rsidRPr="00A7197B">
        <w:rPr>
          <w:rFonts w:asciiTheme="majorHAnsi" w:eastAsia="Times New Roman" w:hAnsiTheme="majorHAnsi" w:cstheme="majorHAnsi"/>
          <w:color w:val="333333"/>
          <w:lang w:eastAsia="nb-NO"/>
        </w:rPr>
        <w:t xml:space="preserve">at </w:t>
      </w:r>
      <w:r w:rsidR="00A7197B" w:rsidRPr="00037171">
        <w:rPr>
          <w:rFonts w:asciiTheme="majorHAnsi" w:eastAsia="Times New Roman" w:hAnsiTheme="majorHAnsi" w:cstheme="majorHAnsi"/>
          <w:i/>
          <w:color w:val="333333"/>
          <w:lang w:eastAsia="nb-NO"/>
        </w:rPr>
        <w:t>«…§ 2-1 annet ledd er en angivelse av NOKUTs formål, og at oppgavene er nevnt i § 2-1 tredje og fjerde ledd</w:t>
      </w:r>
      <w:r w:rsidR="00A7197B">
        <w:rPr>
          <w:rFonts w:asciiTheme="majorHAnsi" w:eastAsia="Times New Roman" w:hAnsiTheme="majorHAnsi" w:cstheme="majorHAnsi"/>
          <w:color w:val="333333"/>
          <w:lang w:eastAsia="nb-NO"/>
        </w:rPr>
        <w:t>»</w:t>
      </w:r>
      <w:r w:rsidR="00A7197B">
        <w:rPr>
          <w:rStyle w:val="Fotnotereferanse"/>
          <w:rFonts w:asciiTheme="majorHAnsi" w:eastAsia="Times New Roman" w:hAnsiTheme="majorHAnsi" w:cstheme="majorHAnsi"/>
          <w:color w:val="333333"/>
          <w:lang w:eastAsia="nb-NO"/>
        </w:rPr>
        <w:footnoteReference w:id="4"/>
      </w:r>
      <w:r w:rsidR="00A7197B">
        <w:rPr>
          <w:rFonts w:asciiTheme="majorHAnsi" w:eastAsia="Times New Roman" w:hAnsiTheme="majorHAnsi" w:cstheme="majorHAnsi"/>
          <w:color w:val="333333"/>
          <w:lang w:eastAsia="nb-NO"/>
        </w:rPr>
        <w:t xml:space="preserve">. </w:t>
      </w:r>
      <w:r w:rsidR="00016ED5">
        <w:rPr>
          <w:rFonts w:asciiTheme="majorHAnsi" w:eastAsia="Times New Roman" w:hAnsiTheme="majorHAnsi" w:cstheme="majorHAnsi"/>
          <w:color w:val="333333"/>
          <w:lang w:eastAsia="nb-NO"/>
        </w:rPr>
        <w:t xml:space="preserve">NOKUT mener </w:t>
      </w:r>
      <w:r>
        <w:rPr>
          <w:rFonts w:asciiTheme="majorHAnsi" w:eastAsia="Times New Roman" w:hAnsiTheme="majorHAnsi" w:cstheme="majorHAnsi"/>
          <w:color w:val="333333"/>
          <w:lang w:eastAsia="nb-NO"/>
        </w:rPr>
        <w:t xml:space="preserve">imidlertid </w:t>
      </w:r>
      <w:r w:rsidR="00037171">
        <w:rPr>
          <w:rFonts w:asciiTheme="majorHAnsi" w:eastAsia="Times New Roman" w:hAnsiTheme="majorHAnsi" w:cstheme="majorHAnsi"/>
          <w:color w:val="333333"/>
          <w:lang w:eastAsia="nb-NO"/>
        </w:rPr>
        <w:t>at det bør</w:t>
      </w:r>
      <w:r w:rsidR="00016ED5">
        <w:rPr>
          <w:rFonts w:asciiTheme="majorHAnsi" w:eastAsia="Times New Roman" w:hAnsiTheme="majorHAnsi" w:cstheme="majorHAnsi"/>
          <w:color w:val="333333"/>
          <w:lang w:eastAsia="nb-NO"/>
        </w:rPr>
        <w:t xml:space="preserve"> foretas en opprydning i annet ledd for å få en tydeligere formidling av hva som henholdsvis er NOKUTs formål og de enkelte lovpålagte oppgavene organet skal utføre. </w:t>
      </w:r>
      <w:r w:rsidR="00037171">
        <w:rPr>
          <w:rFonts w:asciiTheme="majorHAnsi" w:eastAsia="Times New Roman" w:hAnsiTheme="majorHAnsi" w:cstheme="majorHAnsi"/>
          <w:color w:val="333333"/>
          <w:lang w:eastAsia="nb-NO"/>
        </w:rPr>
        <w:t>Slik de</w:t>
      </w:r>
      <w:r w:rsidR="002A37D0">
        <w:rPr>
          <w:rFonts w:asciiTheme="majorHAnsi" w:eastAsia="Times New Roman" w:hAnsiTheme="majorHAnsi" w:cstheme="majorHAnsi"/>
          <w:color w:val="333333"/>
          <w:lang w:eastAsia="nb-NO"/>
        </w:rPr>
        <w:t xml:space="preserve">t er fremstilt nå innebærer reguleringen </w:t>
      </w:r>
      <w:r w:rsidR="00037171">
        <w:rPr>
          <w:rFonts w:asciiTheme="majorHAnsi" w:eastAsia="Times New Roman" w:hAnsiTheme="majorHAnsi" w:cstheme="majorHAnsi"/>
          <w:color w:val="333333"/>
          <w:lang w:eastAsia="nb-NO"/>
        </w:rPr>
        <w:t xml:space="preserve">en sammenblanding. </w:t>
      </w:r>
      <w:r w:rsidR="00016ED5">
        <w:rPr>
          <w:rFonts w:asciiTheme="majorHAnsi" w:eastAsia="Times New Roman" w:hAnsiTheme="majorHAnsi" w:cstheme="majorHAnsi"/>
          <w:color w:val="333333"/>
          <w:lang w:eastAsia="nb-NO"/>
        </w:rPr>
        <w:t xml:space="preserve">NOKUT anser det </w:t>
      </w:r>
      <w:r w:rsidR="002A37D0">
        <w:rPr>
          <w:rFonts w:asciiTheme="majorHAnsi" w:eastAsia="Times New Roman" w:hAnsiTheme="majorHAnsi" w:cstheme="majorHAnsi"/>
          <w:color w:val="333333"/>
          <w:lang w:eastAsia="nb-NO"/>
        </w:rPr>
        <w:t xml:space="preserve">det derfor </w:t>
      </w:r>
      <w:r w:rsidR="00016ED5">
        <w:rPr>
          <w:rFonts w:asciiTheme="majorHAnsi" w:eastAsia="Times New Roman" w:hAnsiTheme="majorHAnsi" w:cstheme="majorHAnsi"/>
          <w:color w:val="333333"/>
          <w:lang w:eastAsia="nb-NO"/>
        </w:rPr>
        <w:t>hensiktsmessig å utelukkende regulere NOKUTs samfunnsoppd</w:t>
      </w:r>
      <w:r w:rsidR="00946E54">
        <w:rPr>
          <w:rFonts w:asciiTheme="majorHAnsi" w:eastAsia="Times New Roman" w:hAnsiTheme="majorHAnsi" w:cstheme="majorHAnsi"/>
          <w:color w:val="333333"/>
          <w:lang w:eastAsia="nb-NO"/>
        </w:rPr>
        <w:t>rag i bestemmelsens annet ledd</w:t>
      </w:r>
      <w:r w:rsidR="00016ED5">
        <w:rPr>
          <w:rFonts w:asciiTheme="majorHAnsi" w:eastAsia="Times New Roman" w:hAnsiTheme="majorHAnsi" w:cstheme="majorHAnsi"/>
          <w:color w:val="333333"/>
          <w:lang w:eastAsia="nb-NO"/>
        </w:rPr>
        <w:t xml:space="preserve">. </w:t>
      </w:r>
    </w:p>
    <w:p w14:paraId="60F7CD62" w14:textId="55E9F9D8" w:rsidR="00735805" w:rsidRPr="00C405F9" w:rsidRDefault="00735805" w:rsidP="00735805">
      <w:pPr>
        <w:pStyle w:val="Overskrift1"/>
        <w:numPr>
          <w:ilvl w:val="1"/>
          <w:numId w:val="2"/>
        </w:numPr>
        <w:rPr>
          <w:rFonts w:eastAsia="Times New Roman" w:cstheme="majorHAnsi"/>
          <w:sz w:val="22"/>
          <w:szCs w:val="22"/>
          <w:lang w:eastAsia="nb-NO"/>
        </w:rPr>
      </w:pPr>
      <w:bookmarkStart w:id="5" w:name="_Toc9835492"/>
      <w:r>
        <w:rPr>
          <w:rFonts w:eastAsia="Times New Roman" w:cstheme="majorHAnsi"/>
          <w:sz w:val="22"/>
          <w:szCs w:val="22"/>
          <w:lang w:eastAsia="nb-NO"/>
        </w:rPr>
        <w:t>NOKUTs oppgaver</w:t>
      </w:r>
      <w:bookmarkEnd w:id="5"/>
    </w:p>
    <w:p w14:paraId="1D8F24C3" w14:textId="77777777" w:rsidR="00735805" w:rsidRPr="00435B3A" w:rsidRDefault="00735805" w:rsidP="00435B3A">
      <w:pPr>
        <w:spacing w:after="0" w:line="330" w:lineRule="atLeast"/>
        <w:textAlignment w:val="center"/>
        <w:rPr>
          <w:rFonts w:asciiTheme="majorHAnsi" w:eastAsia="Times New Roman" w:hAnsiTheme="majorHAnsi" w:cstheme="majorHAnsi"/>
          <w:b/>
          <w:color w:val="333333"/>
          <w:lang w:eastAsia="nb-NO"/>
        </w:rPr>
      </w:pPr>
      <w:r w:rsidRPr="00435B3A">
        <w:rPr>
          <w:rFonts w:asciiTheme="majorHAnsi" w:eastAsia="Times New Roman" w:hAnsiTheme="majorHAnsi" w:cstheme="majorHAnsi"/>
          <w:b/>
          <w:color w:val="333333"/>
          <w:lang w:eastAsia="nb-NO"/>
        </w:rPr>
        <w:t>Gjeldende rett</w:t>
      </w:r>
    </w:p>
    <w:p w14:paraId="1781FF7F" w14:textId="5D166F5F" w:rsidR="00735805" w:rsidRDefault="00735805" w:rsidP="00735805">
      <w:pPr>
        <w:spacing w:after="0" w:line="330" w:lineRule="atLeast"/>
        <w:textAlignment w:val="center"/>
        <w:rPr>
          <w:rFonts w:asciiTheme="majorHAnsi" w:eastAsia="Times New Roman" w:hAnsiTheme="majorHAnsi" w:cstheme="majorHAnsi"/>
          <w:color w:val="333333"/>
          <w:lang w:eastAsia="nb-NO"/>
        </w:rPr>
      </w:pPr>
      <w:r w:rsidRPr="00C405F9">
        <w:rPr>
          <w:rFonts w:asciiTheme="majorHAnsi" w:eastAsia="Times New Roman" w:hAnsiTheme="majorHAnsi" w:cstheme="majorHAnsi"/>
          <w:color w:val="333333"/>
          <w:lang w:eastAsia="nb-NO"/>
        </w:rPr>
        <w:t xml:space="preserve">I bestemmelsens tredje ledd fremkommer </w:t>
      </w:r>
      <w:r w:rsidR="001A19DC">
        <w:rPr>
          <w:rFonts w:asciiTheme="majorHAnsi" w:eastAsia="Times New Roman" w:hAnsiTheme="majorHAnsi" w:cstheme="majorHAnsi"/>
          <w:color w:val="333333"/>
          <w:lang w:eastAsia="nb-NO"/>
        </w:rPr>
        <w:t xml:space="preserve">det som </w:t>
      </w:r>
      <w:r w:rsidR="002F44B8">
        <w:rPr>
          <w:rFonts w:asciiTheme="majorHAnsi" w:eastAsia="Times New Roman" w:hAnsiTheme="majorHAnsi" w:cstheme="majorHAnsi"/>
          <w:color w:val="333333"/>
          <w:lang w:eastAsia="nb-NO"/>
        </w:rPr>
        <w:t>hovedsakelig</w:t>
      </w:r>
      <w:r w:rsidRPr="00C405F9">
        <w:rPr>
          <w:rFonts w:asciiTheme="majorHAnsi" w:eastAsia="Times New Roman" w:hAnsiTheme="majorHAnsi" w:cstheme="majorHAnsi"/>
          <w:color w:val="333333"/>
          <w:lang w:eastAsia="nb-NO"/>
        </w:rPr>
        <w:t xml:space="preserve"> </w:t>
      </w:r>
      <w:r w:rsidR="001A19DC">
        <w:rPr>
          <w:rFonts w:asciiTheme="majorHAnsi" w:eastAsia="Times New Roman" w:hAnsiTheme="majorHAnsi" w:cstheme="majorHAnsi"/>
          <w:color w:val="333333"/>
          <w:lang w:eastAsia="nb-NO"/>
        </w:rPr>
        <w:t xml:space="preserve">er </w:t>
      </w:r>
      <w:r w:rsidRPr="00C405F9">
        <w:rPr>
          <w:rFonts w:asciiTheme="majorHAnsi" w:eastAsia="Times New Roman" w:hAnsiTheme="majorHAnsi" w:cstheme="majorHAnsi"/>
          <w:color w:val="333333"/>
          <w:lang w:eastAsia="nb-NO"/>
        </w:rPr>
        <w:t xml:space="preserve">NOKUT sine konkrete oppgaver. </w:t>
      </w:r>
      <w:r>
        <w:rPr>
          <w:rFonts w:asciiTheme="majorHAnsi" w:eastAsia="Times New Roman" w:hAnsiTheme="majorHAnsi" w:cstheme="majorHAnsi"/>
          <w:color w:val="333333"/>
          <w:lang w:eastAsia="nb-NO"/>
        </w:rPr>
        <w:t>For det første skal NOKUT «</w:t>
      </w:r>
      <w:r w:rsidRPr="00A50580">
        <w:rPr>
          <w:rFonts w:asciiTheme="majorHAnsi" w:eastAsia="Times New Roman" w:hAnsiTheme="majorHAnsi" w:cstheme="majorHAnsi"/>
          <w:i/>
          <w:color w:val="333333"/>
          <w:lang w:eastAsia="nb-NO"/>
        </w:rPr>
        <w:t>akkreditere institusjoner og studietilbud,</w:t>
      </w:r>
      <w:r w:rsidRPr="00A50580">
        <w:rPr>
          <w:i/>
        </w:rPr>
        <w:t xml:space="preserve"> </w:t>
      </w:r>
      <w:r w:rsidRPr="00A50580">
        <w:rPr>
          <w:rFonts w:asciiTheme="majorHAnsi" w:eastAsia="Times New Roman" w:hAnsiTheme="majorHAnsi" w:cstheme="majorHAnsi"/>
          <w:i/>
          <w:color w:val="333333"/>
          <w:lang w:eastAsia="nb-NO"/>
        </w:rPr>
        <w:t>føre tilsyn med institusjonenes kvalitetsarbeid og føre tilsyn med at institusjoner og eksisterende studietilbud fyller gjeldende standarder og kriterier for akkreditering</w:t>
      </w:r>
      <w:r>
        <w:rPr>
          <w:rFonts w:asciiTheme="majorHAnsi" w:eastAsia="Times New Roman" w:hAnsiTheme="majorHAnsi" w:cstheme="majorHAnsi"/>
          <w:color w:val="333333"/>
          <w:lang w:eastAsia="nb-NO"/>
        </w:rPr>
        <w:t>.» I tillegg skal NOKUT «</w:t>
      </w:r>
      <w:r w:rsidRPr="00FC0548">
        <w:rPr>
          <w:rFonts w:asciiTheme="majorHAnsi" w:eastAsia="Times New Roman" w:hAnsiTheme="majorHAnsi" w:cstheme="majorHAnsi"/>
          <w:i/>
          <w:color w:val="333333"/>
          <w:lang w:eastAsia="nb-NO"/>
        </w:rPr>
        <w:t>gi generell godkjenning av utenlandsk utdanning</w:t>
      </w:r>
      <w:r>
        <w:rPr>
          <w:rFonts w:asciiTheme="majorHAnsi" w:eastAsia="Times New Roman" w:hAnsiTheme="majorHAnsi" w:cstheme="majorHAnsi"/>
          <w:color w:val="333333"/>
          <w:lang w:eastAsia="nb-NO"/>
        </w:rPr>
        <w:t>.»</w:t>
      </w:r>
    </w:p>
    <w:p w14:paraId="71335684" w14:textId="77777777" w:rsidR="00735805" w:rsidRDefault="00735805" w:rsidP="00735805">
      <w:pPr>
        <w:spacing w:after="0" w:line="330" w:lineRule="atLeast"/>
        <w:textAlignment w:val="center"/>
        <w:rPr>
          <w:rFonts w:asciiTheme="majorHAnsi" w:eastAsia="Times New Roman" w:hAnsiTheme="majorHAnsi" w:cstheme="majorHAnsi"/>
          <w:color w:val="333333"/>
          <w:lang w:eastAsia="nb-NO"/>
        </w:rPr>
      </w:pPr>
    </w:p>
    <w:p w14:paraId="598B0CAC" w14:textId="77777777" w:rsidR="00735805" w:rsidRPr="00C405F9" w:rsidRDefault="00735805" w:rsidP="00735805">
      <w:pPr>
        <w:spacing w:after="0" w:line="330" w:lineRule="atLeast"/>
        <w:textAlignment w:val="center"/>
        <w:rPr>
          <w:rFonts w:asciiTheme="majorHAnsi" w:eastAsia="Times New Roman" w:hAnsiTheme="majorHAnsi" w:cstheme="majorHAnsi"/>
          <w:color w:val="333333"/>
          <w:lang w:eastAsia="nb-NO"/>
        </w:rPr>
      </w:pPr>
      <w:r>
        <w:rPr>
          <w:rFonts w:asciiTheme="majorHAnsi" w:eastAsia="Times New Roman" w:hAnsiTheme="majorHAnsi" w:cstheme="majorHAnsi"/>
          <w:color w:val="333333"/>
          <w:lang w:eastAsia="nb-NO"/>
        </w:rPr>
        <w:t>Avslutningsvis fremgår det i tredje ledd at «</w:t>
      </w:r>
      <w:r w:rsidRPr="005B215A">
        <w:rPr>
          <w:rFonts w:asciiTheme="majorHAnsi" w:eastAsia="Times New Roman" w:hAnsiTheme="majorHAnsi" w:cstheme="majorHAnsi"/>
          <w:i/>
          <w:color w:val="333333"/>
          <w:lang w:eastAsia="nb-NO"/>
        </w:rPr>
        <w:t>NOKUT kan benytte andre virkemidler og gjennomføre andre tiltak, så langt de er i samsvar med formålet med NOKUTs virksomhet</w:t>
      </w:r>
      <w:r>
        <w:rPr>
          <w:rFonts w:asciiTheme="majorHAnsi" w:eastAsia="Times New Roman" w:hAnsiTheme="majorHAnsi" w:cstheme="majorHAnsi"/>
          <w:color w:val="333333"/>
          <w:lang w:eastAsia="nb-NO"/>
        </w:rPr>
        <w:t>.»</w:t>
      </w:r>
    </w:p>
    <w:p w14:paraId="4672131A" w14:textId="77777777" w:rsidR="00735805" w:rsidRPr="00C405F9" w:rsidRDefault="00735805" w:rsidP="00735805">
      <w:pPr>
        <w:pStyle w:val="Listeavsnitt"/>
        <w:spacing w:after="0" w:line="330" w:lineRule="atLeast"/>
        <w:ind w:left="792"/>
        <w:textAlignment w:val="center"/>
        <w:rPr>
          <w:rFonts w:asciiTheme="majorHAnsi" w:eastAsia="Times New Roman" w:hAnsiTheme="majorHAnsi" w:cstheme="majorHAnsi"/>
          <w:color w:val="333333"/>
          <w:lang w:eastAsia="nb-NO"/>
        </w:rPr>
      </w:pPr>
    </w:p>
    <w:p w14:paraId="2153A683" w14:textId="77777777" w:rsidR="00735805" w:rsidRPr="00435B3A" w:rsidRDefault="00735805" w:rsidP="00435B3A">
      <w:pPr>
        <w:spacing w:after="0" w:line="330" w:lineRule="atLeast"/>
        <w:textAlignment w:val="center"/>
        <w:rPr>
          <w:rFonts w:asciiTheme="majorHAnsi" w:eastAsia="Times New Roman" w:hAnsiTheme="majorHAnsi" w:cstheme="majorHAnsi"/>
          <w:b/>
          <w:color w:val="333333"/>
          <w:lang w:eastAsia="nb-NO"/>
        </w:rPr>
      </w:pPr>
      <w:r w:rsidRPr="00435B3A">
        <w:rPr>
          <w:rFonts w:asciiTheme="majorHAnsi" w:eastAsia="Times New Roman" w:hAnsiTheme="majorHAnsi" w:cstheme="majorHAnsi"/>
          <w:b/>
          <w:color w:val="333333"/>
          <w:lang w:eastAsia="nb-NO"/>
        </w:rPr>
        <w:t>NOKUTs vurdering og forslag</w:t>
      </w:r>
    </w:p>
    <w:p w14:paraId="6544D5D6" w14:textId="6986F8EE" w:rsidR="00735805" w:rsidRDefault="00735805" w:rsidP="00735805">
      <w:pPr>
        <w:spacing w:after="0" w:line="330" w:lineRule="atLeast"/>
        <w:textAlignment w:val="center"/>
        <w:rPr>
          <w:rFonts w:asciiTheme="majorHAnsi" w:eastAsia="Times New Roman" w:hAnsiTheme="majorHAnsi" w:cstheme="majorHAnsi"/>
          <w:color w:val="333333"/>
          <w:lang w:eastAsia="nb-NO"/>
        </w:rPr>
      </w:pPr>
      <w:r>
        <w:rPr>
          <w:rFonts w:asciiTheme="majorHAnsi" w:eastAsia="Times New Roman" w:hAnsiTheme="majorHAnsi" w:cstheme="majorHAnsi"/>
          <w:color w:val="333333"/>
          <w:lang w:eastAsia="nb-NO"/>
        </w:rPr>
        <w:t xml:space="preserve">Som nevnt i det foregående mener NOKUT at organets oppgaver primært bør komme til uttrykk i bestemmelsens tredje ledd. Det bør i den sammenheng foretas en koordinering av benevnelsen av disse oppgavene og de som fremkommer i </w:t>
      </w:r>
      <w:r w:rsidRPr="00C405F9">
        <w:rPr>
          <w:rFonts w:asciiTheme="majorHAnsi" w:eastAsia="Times New Roman" w:hAnsiTheme="majorHAnsi" w:cstheme="majorHAnsi"/>
          <w:color w:val="333333"/>
          <w:lang w:eastAsia="nb-NO"/>
        </w:rPr>
        <w:t>s</w:t>
      </w:r>
      <w:r w:rsidR="009C3665">
        <w:rPr>
          <w:rFonts w:asciiTheme="majorHAnsi" w:eastAsia="Times New Roman" w:hAnsiTheme="majorHAnsi" w:cstheme="majorHAnsi"/>
          <w:color w:val="333333"/>
          <w:lang w:eastAsia="nb-NO"/>
        </w:rPr>
        <w:t>tudiekvalitetsforskriften</w:t>
      </w:r>
      <w:r w:rsidR="009C3665">
        <w:rPr>
          <w:rStyle w:val="Fotnotereferanse"/>
          <w:rFonts w:asciiTheme="majorHAnsi" w:eastAsia="Times New Roman" w:hAnsiTheme="majorHAnsi" w:cstheme="majorHAnsi"/>
          <w:color w:val="333333"/>
          <w:lang w:eastAsia="nb-NO"/>
        </w:rPr>
        <w:footnoteReference w:id="5"/>
      </w:r>
      <w:r>
        <w:rPr>
          <w:rFonts w:asciiTheme="majorHAnsi" w:eastAsia="Times New Roman" w:hAnsiTheme="majorHAnsi" w:cstheme="majorHAnsi"/>
          <w:color w:val="333333"/>
          <w:lang w:eastAsia="nb-NO"/>
        </w:rPr>
        <w:t xml:space="preserve"> § 1-5. At NOKUTs oppgaver en angitt flere st</w:t>
      </w:r>
      <w:r w:rsidR="009D014A">
        <w:rPr>
          <w:rFonts w:asciiTheme="majorHAnsi" w:eastAsia="Times New Roman" w:hAnsiTheme="majorHAnsi" w:cstheme="majorHAnsi"/>
          <w:color w:val="333333"/>
          <w:lang w:eastAsia="nb-NO"/>
        </w:rPr>
        <w:t>eder med ulik</w:t>
      </w:r>
      <w:r w:rsidR="00F8737F">
        <w:rPr>
          <w:rFonts w:asciiTheme="majorHAnsi" w:eastAsia="Times New Roman" w:hAnsiTheme="majorHAnsi" w:cstheme="majorHAnsi"/>
          <w:color w:val="333333"/>
          <w:lang w:eastAsia="nb-NO"/>
        </w:rPr>
        <w:t>e</w:t>
      </w:r>
      <w:r w:rsidR="009D014A">
        <w:rPr>
          <w:rFonts w:asciiTheme="majorHAnsi" w:eastAsia="Times New Roman" w:hAnsiTheme="majorHAnsi" w:cstheme="majorHAnsi"/>
          <w:color w:val="333333"/>
          <w:lang w:eastAsia="nb-NO"/>
        </w:rPr>
        <w:t xml:space="preserve"> uttrykk skaper et</w:t>
      </w:r>
      <w:r w:rsidR="00946C41">
        <w:rPr>
          <w:rFonts w:asciiTheme="majorHAnsi" w:eastAsia="Times New Roman" w:hAnsiTheme="majorHAnsi" w:cstheme="majorHAnsi"/>
          <w:color w:val="333333"/>
          <w:lang w:eastAsia="nb-NO"/>
        </w:rPr>
        <w:t xml:space="preserve"> </w:t>
      </w:r>
      <w:r>
        <w:rPr>
          <w:rFonts w:asciiTheme="majorHAnsi" w:eastAsia="Times New Roman" w:hAnsiTheme="majorHAnsi" w:cstheme="majorHAnsi"/>
          <w:color w:val="333333"/>
          <w:lang w:eastAsia="nb-NO"/>
        </w:rPr>
        <w:t>uoversiktlig rettskildebilde</w:t>
      </w:r>
      <w:r w:rsidR="003E3529">
        <w:rPr>
          <w:rFonts w:asciiTheme="majorHAnsi" w:eastAsia="Times New Roman" w:hAnsiTheme="majorHAnsi" w:cstheme="majorHAnsi"/>
          <w:color w:val="333333"/>
          <w:lang w:eastAsia="nb-NO"/>
        </w:rPr>
        <w:t>.</w:t>
      </w:r>
      <w:r w:rsidR="00650B3F">
        <w:rPr>
          <w:rFonts w:asciiTheme="majorHAnsi" w:eastAsia="Times New Roman" w:hAnsiTheme="majorHAnsi" w:cstheme="majorHAnsi"/>
          <w:color w:val="333333"/>
          <w:lang w:eastAsia="nb-NO"/>
        </w:rPr>
        <w:t xml:space="preserve"> </w:t>
      </w:r>
      <w:r w:rsidR="00F06E7A">
        <w:rPr>
          <w:rFonts w:asciiTheme="majorHAnsi" w:eastAsia="Times New Roman" w:hAnsiTheme="majorHAnsi" w:cstheme="majorHAnsi"/>
          <w:color w:val="333333"/>
          <w:lang w:eastAsia="nb-NO"/>
        </w:rPr>
        <w:t xml:space="preserve">Et videre spørsmål er om </w:t>
      </w:r>
      <w:r>
        <w:rPr>
          <w:rFonts w:asciiTheme="majorHAnsi" w:eastAsia="Times New Roman" w:hAnsiTheme="majorHAnsi" w:cstheme="majorHAnsi"/>
          <w:color w:val="333333"/>
          <w:lang w:eastAsia="nb-NO"/>
        </w:rPr>
        <w:t xml:space="preserve">NOKUTs nye oppgaver, som blant annet ble tildelt </w:t>
      </w:r>
      <w:r w:rsidRPr="00C405F9">
        <w:rPr>
          <w:rFonts w:asciiTheme="majorHAnsi" w:eastAsia="Times New Roman" w:hAnsiTheme="majorHAnsi" w:cstheme="majorHAnsi"/>
          <w:color w:val="333333"/>
          <w:lang w:eastAsia="nb-NO"/>
        </w:rPr>
        <w:t>ved supplerende tildelingsbrev</w:t>
      </w:r>
      <w:r>
        <w:rPr>
          <w:rFonts w:asciiTheme="majorHAnsi" w:eastAsia="Times New Roman" w:hAnsiTheme="majorHAnsi" w:cstheme="majorHAnsi"/>
          <w:color w:val="333333"/>
          <w:lang w:eastAsia="nb-NO"/>
        </w:rPr>
        <w:t xml:space="preserve"> 24. august 2018, er dekkende angitt ved dagens reguleringen</w:t>
      </w:r>
      <w:r w:rsidRPr="00C405F9">
        <w:rPr>
          <w:rFonts w:asciiTheme="majorHAnsi" w:eastAsia="Times New Roman" w:hAnsiTheme="majorHAnsi" w:cstheme="majorHAnsi"/>
          <w:color w:val="333333"/>
          <w:lang w:eastAsia="nb-NO"/>
        </w:rPr>
        <w:t xml:space="preserve">. </w:t>
      </w:r>
    </w:p>
    <w:p w14:paraId="638ADCFC" w14:textId="77777777" w:rsidR="00650B3F" w:rsidRPr="00C405F9" w:rsidRDefault="00650B3F" w:rsidP="00735805">
      <w:pPr>
        <w:spacing w:after="0" w:line="330" w:lineRule="atLeast"/>
        <w:textAlignment w:val="center"/>
        <w:rPr>
          <w:rFonts w:asciiTheme="majorHAnsi" w:eastAsia="Times New Roman" w:hAnsiTheme="majorHAnsi" w:cstheme="majorHAnsi"/>
          <w:color w:val="333333"/>
          <w:lang w:eastAsia="nb-NO"/>
        </w:rPr>
      </w:pPr>
    </w:p>
    <w:p w14:paraId="253117B9" w14:textId="79F18BF3" w:rsidR="00947318" w:rsidRDefault="00735805" w:rsidP="00FF5AA4">
      <w:pPr>
        <w:spacing w:after="0" w:line="330" w:lineRule="atLeast"/>
        <w:textAlignment w:val="center"/>
        <w:rPr>
          <w:rFonts w:asciiTheme="majorHAnsi" w:eastAsia="Times New Roman" w:hAnsiTheme="majorHAnsi" w:cstheme="majorHAnsi"/>
          <w:color w:val="333333"/>
          <w:lang w:eastAsia="nb-NO"/>
        </w:rPr>
      </w:pPr>
      <w:r w:rsidRPr="00C405F9">
        <w:rPr>
          <w:rFonts w:asciiTheme="majorHAnsi" w:eastAsia="Times New Roman" w:hAnsiTheme="majorHAnsi" w:cstheme="majorHAnsi"/>
          <w:color w:val="333333"/>
          <w:lang w:eastAsia="nb-NO"/>
        </w:rPr>
        <w:t>Av bestemmelsen fremkommer det avslutningsvis at NOKUT kan «</w:t>
      </w:r>
      <w:r w:rsidRPr="004A2842">
        <w:rPr>
          <w:rFonts w:asciiTheme="majorHAnsi" w:eastAsia="Times New Roman" w:hAnsiTheme="majorHAnsi" w:cstheme="majorHAnsi"/>
          <w:i/>
          <w:color w:val="333333"/>
          <w:lang w:eastAsia="nb-NO"/>
        </w:rPr>
        <w:t>benytte andre virkemidler og gjennomføre andre tiltak</w:t>
      </w:r>
      <w:r w:rsidRPr="00C405F9">
        <w:rPr>
          <w:rFonts w:asciiTheme="majorHAnsi" w:eastAsia="Times New Roman" w:hAnsiTheme="majorHAnsi" w:cstheme="majorHAnsi"/>
          <w:color w:val="333333"/>
          <w:lang w:eastAsia="nb-NO"/>
        </w:rPr>
        <w:t xml:space="preserve">». </w:t>
      </w:r>
      <w:r w:rsidR="008A50C2">
        <w:rPr>
          <w:rFonts w:asciiTheme="majorHAnsi" w:eastAsia="Times New Roman" w:hAnsiTheme="majorHAnsi" w:cstheme="majorHAnsi"/>
          <w:color w:val="333333"/>
          <w:lang w:eastAsia="nb-NO"/>
        </w:rPr>
        <w:t>Denne bestemmelsen ble innført for å tydeliggjøre at NOKUT bør anvende mindre inngripende virkemidler i saker hvor det ikke er strengt nødvendig å igangsette en revidering av akkreditering.</w:t>
      </w:r>
      <w:r w:rsidR="007B1B4F">
        <w:rPr>
          <w:rFonts w:asciiTheme="majorHAnsi" w:eastAsia="Times New Roman" w:hAnsiTheme="majorHAnsi" w:cstheme="majorHAnsi"/>
          <w:color w:val="333333"/>
          <w:lang w:eastAsia="nb-NO"/>
        </w:rPr>
        <w:t xml:space="preserve"> </w:t>
      </w:r>
      <w:r>
        <w:rPr>
          <w:rFonts w:asciiTheme="majorHAnsi" w:eastAsia="Times New Roman" w:hAnsiTheme="majorHAnsi" w:cstheme="majorHAnsi"/>
          <w:color w:val="333333"/>
          <w:lang w:eastAsia="nb-NO"/>
        </w:rPr>
        <w:t xml:space="preserve">NOKUT mener dette </w:t>
      </w:r>
      <w:r w:rsidR="008A50C2">
        <w:rPr>
          <w:rFonts w:asciiTheme="majorHAnsi" w:eastAsia="Times New Roman" w:hAnsiTheme="majorHAnsi" w:cstheme="majorHAnsi"/>
          <w:color w:val="333333"/>
          <w:lang w:eastAsia="nb-NO"/>
        </w:rPr>
        <w:t xml:space="preserve">i dagens situasjon </w:t>
      </w:r>
      <w:r>
        <w:rPr>
          <w:rFonts w:asciiTheme="majorHAnsi" w:eastAsia="Times New Roman" w:hAnsiTheme="majorHAnsi" w:cstheme="majorHAnsi"/>
          <w:color w:val="333333"/>
          <w:lang w:eastAsia="nb-NO"/>
        </w:rPr>
        <w:t>er en mindre heldig regulering. Bakgrunnen for dette er at formuleringen gir inntrykk av å gi NOKUT flere virkem</w:t>
      </w:r>
      <w:r w:rsidR="00E76351">
        <w:rPr>
          <w:rFonts w:asciiTheme="majorHAnsi" w:eastAsia="Times New Roman" w:hAnsiTheme="majorHAnsi" w:cstheme="majorHAnsi"/>
          <w:color w:val="333333"/>
          <w:lang w:eastAsia="nb-NO"/>
        </w:rPr>
        <w:t>idler enn det er rettslig grunnlag</w:t>
      </w:r>
      <w:r>
        <w:rPr>
          <w:rFonts w:asciiTheme="majorHAnsi" w:eastAsia="Times New Roman" w:hAnsiTheme="majorHAnsi" w:cstheme="majorHAnsi"/>
          <w:color w:val="333333"/>
          <w:lang w:eastAsia="nb-NO"/>
        </w:rPr>
        <w:t xml:space="preserve"> for. Realiteten er at dersom det er snakk om </w:t>
      </w:r>
      <w:r w:rsidRPr="00F8737F">
        <w:rPr>
          <w:rFonts w:asciiTheme="majorHAnsi" w:eastAsia="Times New Roman" w:hAnsiTheme="majorHAnsi" w:cstheme="majorHAnsi"/>
          <w:color w:val="333333"/>
          <w:lang w:eastAsia="nb-NO"/>
        </w:rPr>
        <w:t>andre</w:t>
      </w:r>
      <w:r>
        <w:rPr>
          <w:rFonts w:asciiTheme="majorHAnsi" w:eastAsia="Times New Roman" w:hAnsiTheme="majorHAnsi" w:cstheme="majorHAnsi"/>
          <w:color w:val="333333"/>
          <w:lang w:eastAsia="nb-NO"/>
        </w:rPr>
        <w:t xml:space="preserve"> bebyrdende virkemidler og tiltak </w:t>
      </w:r>
      <w:r w:rsidR="002F44B8">
        <w:rPr>
          <w:rFonts w:asciiTheme="majorHAnsi" w:eastAsia="Times New Roman" w:hAnsiTheme="majorHAnsi" w:cstheme="majorHAnsi"/>
          <w:color w:val="333333"/>
          <w:lang w:eastAsia="nb-NO"/>
        </w:rPr>
        <w:t xml:space="preserve">enn de som </w:t>
      </w:r>
      <w:r w:rsidR="002F44B8">
        <w:rPr>
          <w:rFonts w:asciiTheme="majorHAnsi" w:eastAsia="Times New Roman" w:hAnsiTheme="majorHAnsi" w:cstheme="majorHAnsi"/>
          <w:color w:val="333333"/>
          <w:lang w:eastAsia="nb-NO"/>
        </w:rPr>
        <w:lastRenderedPageBreak/>
        <w:t>fremkommer av loven for øvrig</w:t>
      </w:r>
      <w:r w:rsidR="007B1B4F">
        <w:rPr>
          <w:rFonts w:asciiTheme="majorHAnsi" w:eastAsia="Times New Roman" w:hAnsiTheme="majorHAnsi" w:cstheme="majorHAnsi"/>
          <w:color w:val="333333"/>
          <w:lang w:eastAsia="nb-NO"/>
        </w:rPr>
        <w:t>,</w:t>
      </w:r>
      <w:r w:rsidR="002F44B8">
        <w:rPr>
          <w:rFonts w:asciiTheme="majorHAnsi" w:eastAsia="Times New Roman" w:hAnsiTheme="majorHAnsi" w:cstheme="majorHAnsi"/>
          <w:color w:val="333333"/>
          <w:lang w:eastAsia="nb-NO"/>
        </w:rPr>
        <w:t xml:space="preserve"> </w:t>
      </w:r>
      <w:r>
        <w:rPr>
          <w:rFonts w:asciiTheme="majorHAnsi" w:eastAsia="Times New Roman" w:hAnsiTheme="majorHAnsi" w:cstheme="majorHAnsi"/>
          <w:color w:val="333333"/>
          <w:lang w:eastAsia="nb-NO"/>
        </w:rPr>
        <w:t>må disse ha hjemmel i lov, og en generalk</w:t>
      </w:r>
      <w:r w:rsidR="002D4C2B">
        <w:rPr>
          <w:rFonts w:asciiTheme="majorHAnsi" w:eastAsia="Times New Roman" w:hAnsiTheme="majorHAnsi" w:cstheme="majorHAnsi"/>
          <w:color w:val="333333"/>
          <w:lang w:eastAsia="nb-NO"/>
        </w:rPr>
        <w:t xml:space="preserve">lausul av denne sorten vil </w:t>
      </w:r>
      <w:r w:rsidR="00421640">
        <w:rPr>
          <w:rFonts w:asciiTheme="majorHAnsi" w:eastAsia="Times New Roman" w:hAnsiTheme="majorHAnsi" w:cstheme="majorHAnsi"/>
          <w:color w:val="333333"/>
          <w:lang w:eastAsia="nb-NO"/>
        </w:rPr>
        <w:t>antakelig ikke</w:t>
      </w:r>
      <w:r>
        <w:rPr>
          <w:rFonts w:asciiTheme="majorHAnsi" w:eastAsia="Times New Roman" w:hAnsiTheme="majorHAnsi" w:cstheme="majorHAnsi"/>
          <w:color w:val="333333"/>
          <w:lang w:eastAsia="nb-NO"/>
        </w:rPr>
        <w:t xml:space="preserve"> være tilstrekkelig. På den annen side, vil «</w:t>
      </w:r>
      <w:r w:rsidRPr="00076A11">
        <w:rPr>
          <w:rFonts w:asciiTheme="majorHAnsi" w:eastAsia="Times New Roman" w:hAnsiTheme="majorHAnsi" w:cstheme="majorHAnsi"/>
          <w:i/>
          <w:color w:val="333333"/>
          <w:lang w:eastAsia="nb-NO"/>
        </w:rPr>
        <w:t>mindre omfattende, inngripende og ressurskrevende tiltak</w:t>
      </w:r>
      <w:r>
        <w:rPr>
          <w:rFonts w:asciiTheme="majorHAnsi" w:eastAsia="Times New Roman" w:hAnsiTheme="majorHAnsi" w:cstheme="majorHAnsi"/>
          <w:color w:val="333333"/>
          <w:lang w:eastAsia="nb-NO"/>
        </w:rPr>
        <w:t xml:space="preserve">», som det henvises til i forarbeidene, kunne gjennomføres </w:t>
      </w:r>
      <w:r w:rsidRPr="006C65B6">
        <w:rPr>
          <w:rFonts w:asciiTheme="majorHAnsi" w:eastAsia="Times New Roman" w:hAnsiTheme="majorHAnsi" w:cstheme="majorHAnsi"/>
          <w:color w:val="333333"/>
          <w:lang w:eastAsia="nb-NO"/>
        </w:rPr>
        <w:t>i</w:t>
      </w:r>
      <w:r>
        <w:rPr>
          <w:rFonts w:asciiTheme="majorHAnsi" w:eastAsia="Times New Roman" w:hAnsiTheme="majorHAnsi" w:cstheme="majorHAnsi"/>
          <w:color w:val="333333"/>
          <w:lang w:eastAsia="nb-NO"/>
        </w:rPr>
        <w:t xml:space="preserve"> tråd med den alminnelige handlefriheten</w:t>
      </w:r>
      <w:r w:rsidRPr="006C65B6">
        <w:rPr>
          <w:rFonts w:asciiTheme="majorHAnsi" w:eastAsia="Times New Roman" w:hAnsiTheme="majorHAnsi" w:cstheme="majorHAnsi"/>
          <w:color w:val="333333"/>
          <w:lang w:eastAsia="nb-NO"/>
        </w:rPr>
        <w:t xml:space="preserve">. </w:t>
      </w:r>
      <w:r>
        <w:rPr>
          <w:rFonts w:asciiTheme="majorHAnsi" w:eastAsia="Times New Roman" w:hAnsiTheme="majorHAnsi" w:cstheme="majorHAnsi"/>
          <w:color w:val="333333"/>
          <w:lang w:eastAsia="nb-NO"/>
        </w:rPr>
        <w:t xml:space="preserve">På denne bakgrunn mener NOKUT formuleringen </w:t>
      </w:r>
      <w:r w:rsidR="002F44B8">
        <w:rPr>
          <w:rFonts w:asciiTheme="majorHAnsi" w:eastAsia="Times New Roman" w:hAnsiTheme="majorHAnsi" w:cstheme="majorHAnsi"/>
          <w:color w:val="333333"/>
          <w:lang w:eastAsia="nb-NO"/>
        </w:rPr>
        <w:t xml:space="preserve">i førstnevnte henseende er for upresis og i sistnevnte overflødig. Bestemmelsen er dermed </w:t>
      </w:r>
      <w:r>
        <w:rPr>
          <w:rFonts w:asciiTheme="majorHAnsi" w:eastAsia="Times New Roman" w:hAnsiTheme="majorHAnsi" w:cstheme="majorHAnsi"/>
          <w:color w:val="333333"/>
          <w:lang w:eastAsia="nb-NO"/>
        </w:rPr>
        <w:t xml:space="preserve">egnet </w:t>
      </w:r>
      <w:r w:rsidR="00F5735D">
        <w:rPr>
          <w:rFonts w:asciiTheme="majorHAnsi" w:eastAsia="Times New Roman" w:hAnsiTheme="majorHAnsi" w:cstheme="majorHAnsi"/>
          <w:color w:val="333333"/>
          <w:lang w:eastAsia="nb-NO"/>
        </w:rPr>
        <w:t>til å skape forvirring og</w:t>
      </w:r>
      <w:r>
        <w:rPr>
          <w:rFonts w:asciiTheme="majorHAnsi" w:eastAsia="Times New Roman" w:hAnsiTheme="majorHAnsi" w:cstheme="majorHAnsi"/>
          <w:color w:val="333333"/>
          <w:lang w:eastAsia="nb-NO"/>
        </w:rPr>
        <w:t xml:space="preserve"> bør fjernes. </w:t>
      </w:r>
    </w:p>
    <w:p w14:paraId="7247C48C" w14:textId="7F408D36" w:rsidR="00791EB9" w:rsidRDefault="00791EB9" w:rsidP="00FF5AA4">
      <w:pPr>
        <w:spacing w:after="0" w:line="330" w:lineRule="atLeast"/>
        <w:textAlignment w:val="center"/>
        <w:rPr>
          <w:rFonts w:asciiTheme="majorHAnsi" w:eastAsia="Times New Roman" w:hAnsiTheme="majorHAnsi" w:cstheme="majorHAnsi"/>
          <w:color w:val="333333"/>
          <w:lang w:eastAsia="nb-NO"/>
        </w:rPr>
      </w:pPr>
    </w:p>
    <w:p w14:paraId="1C7B4F04" w14:textId="77777777" w:rsidR="00791EB9" w:rsidRDefault="00791EB9" w:rsidP="00791EB9">
      <w:pPr>
        <w:pStyle w:val="Overskrift1"/>
        <w:numPr>
          <w:ilvl w:val="1"/>
          <w:numId w:val="2"/>
        </w:numPr>
        <w:spacing w:before="0"/>
        <w:rPr>
          <w:rFonts w:eastAsia="Times New Roman" w:cstheme="majorHAnsi"/>
          <w:sz w:val="22"/>
          <w:szCs w:val="22"/>
          <w:lang w:eastAsia="nb-NO"/>
        </w:rPr>
      </w:pPr>
      <w:bookmarkStart w:id="6" w:name="_Toc9835493"/>
      <w:r>
        <w:rPr>
          <w:rFonts w:eastAsia="Times New Roman" w:cstheme="majorHAnsi"/>
          <w:sz w:val="22"/>
          <w:szCs w:val="22"/>
          <w:lang w:eastAsia="nb-NO"/>
        </w:rPr>
        <w:t>Høyere yrkesfaglig utdanning</w:t>
      </w:r>
      <w:bookmarkEnd w:id="6"/>
    </w:p>
    <w:p w14:paraId="419308FF" w14:textId="657E7380" w:rsidR="00791EB9" w:rsidRPr="00CF0418" w:rsidRDefault="00280EF6" w:rsidP="00791EB9">
      <w:pPr>
        <w:rPr>
          <w:rFonts w:asciiTheme="majorHAnsi" w:hAnsiTheme="majorHAnsi" w:cstheme="majorHAnsi"/>
          <w:lang w:eastAsia="nb-NO"/>
        </w:rPr>
      </w:pPr>
      <w:r w:rsidRPr="00CF0418">
        <w:rPr>
          <w:rFonts w:asciiTheme="majorHAnsi" w:hAnsiTheme="majorHAnsi" w:cstheme="majorHAnsi"/>
          <w:lang w:eastAsia="nb-NO"/>
        </w:rPr>
        <w:t>I forbindelse med en eventuell opprydning knyttet til NOKUTs formål og oppgaver mener NOKUT</w:t>
      </w:r>
      <w:r w:rsidR="00791EB9" w:rsidRPr="00CF0418">
        <w:rPr>
          <w:rFonts w:asciiTheme="majorHAnsi" w:hAnsiTheme="majorHAnsi" w:cstheme="majorHAnsi"/>
          <w:lang w:eastAsia="nb-NO"/>
        </w:rPr>
        <w:t xml:space="preserve"> det </w:t>
      </w:r>
      <w:r w:rsidRPr="00CF0418">
        <w:rPr>
          <w:rFonts w:asciiTheme="majorHAnsi" w:hAnsiTheme="majorHAnsi" w:cstheme="majorHAnsi"/>
          <w:lang w:eastAsia="nb-NO"/>
        </w:rPr>
        <w:t xml:space="preserve">også </w:t>
      </w:r>
      <w:r w:rsidR="00791EB9" w:rsidRPr="00CF0418">
        <w:rPr>
          <w:rFonts w:asciiTheme="majorHAnsi" w:hAnsiTheme="majorHAnsi" w:cstheme="majorHAnsi"/>
          <w:lang w:eastAsia="nb-NO"/>
        </w:rPr>
        <w:t>gjennomgående må tas en vurdering av om reguleringen i uhl. § 2-1 er dekkende for det arbeidet NOKUT skal utføre</w:t>
      </w:r>
      <w:r w:rsidR="00F3444A">
        <w:rPr>
          <w:rFonts w:asciiTheme="majorHAnsi" w:hAnsiTheme="majorHAnsi" w:cstheme="majorHAnsi"/>
          <w:lang w:eastAsia="nb-NO"/>
        </w:rPr>
        <w:t>,</w:t>
      </w:r>
      <w:r w:rsidR="00791EB9" w:rsidRPr="00CF0418">
        <w:rPr>
          <w:rFonts w:asciiTheme="majorHAnsi" w:hAnsiTheme="majorHAnsi" w:cstheme="majorHAnsi"/>
          <w:lang w:eastAsia="nb-NO"/>
        </w:rPr>
        <w:t xml:space="preserve"> som knytter seg til høyere yrkesfaglig utdanning</w:t>
      </w:r>
      <w:r w:rsidR="00093DC6" w:rsidRPr="00CF0418">
        <w:rPr>
          <w:rStyle w:val="Fotnotereferanse"/>
          <w:rFonts w:asciiTheme="majorHAnsi" w:hAnsiTheme="majorHAnsi" w:cstheme="majorHAnsi"/>
          <w:lang w:eastAsia="nb-NO"/>
        </w:rPr>
        <w:footnoteReference w:id="6"/>
      </w:r>
      <w:r w:rsidR="00791EB9" w:rsidRPr="00CF0418">
        <w:rPr>
          <w:rFonts w:asciiTheme="majorHAnsi" w:hAnsiTheme="majorHAnsi" w:cstheme="majorHAnsi"/>
          <w:lang w:eastAsia="nb-NO"/>
        </w:rPr>
        <w:t xml:space="preserve">. Selv om høyere yrkesfaglig utdanning er regulert i en egen lov, knytter uhl. § 2-1 seg til NOKUT som sådan. </w:t>
      </w:r>
      <w:r w:rsidR="00557770" w:rsidRPr="00CF0418">
        <w:rPr>
          <w:rFonts w:asciiTheme="majorHAnsi" w:hAnsiTheme="majorHAnsi" w:cstheme="majorHAnsi"/>
          <w:lang w:eastAsia="nb-NO"/>
        </w:rPr>
        <w:t xml:space="preserve">I dag reguleres NOKUT som organ i </w:t>
      </w:r>
      <w:r w:rsidR="00E506CE" w:rsidRPr="00CF0418">
        <w:rPr>
          <w:rFonts w:asciiTheme="majorHAnsi" w:hAnsiTheme="majorHAnsi" w:cstheme="majorHAnsi"/>
          <w:lang w:eastAsia="nb-NO"/>
        </w:rPr>
        <w:t>uhl.</w:t>
      </w:r>
      <w:r w:rsidR="00557770" w:rsidRPr="00CF0418">
        <w:rPr>
          <w:rFonts w:asciiTheme="majorHAnsi" w:hAnsiTheme="majorHAnsi" w:cstheme="majorHAnsi"/>
          <w:lang w:eastAsia="nb-NO"/>
        </w:rPr>
        <w:t xml:space="preserve">, og NOKUTs oppgaver overfor de </w:t>
      </w:r>
      <w:r w:rsidR="00E506CE" w:rsidRPr="00CF0418">
        <w:rPr>
          <w:rFonts w:asciiTheme="majorHAnsi" w:hAnsiTheme="majorHAnsi" w:cstheme="majorHAnsi"/>
          <w:lang w:eastAsia="nb-NO"/>
        </w:rPr>
        <w:t>ulike utdanningstypene delvis i uhl.</w:t>
      </w:r>
      <w:r w:rsidR="00557770" w:rsidRPr="00CF0418">
        <w:rPr>
          <w:rFonts w:asciiTheme="majorHAnsi" w:hAnsiTheme="majorHAnsi" w:cstheme="majorHAnsi"/>
          <w:lang w:eastAsia="nb-NO"/>
        </w:rPr>
        <w:t xml:space="preserve"> og delvis i fagskoleloven. </w:t>
      </w:r>
      <w:r w:rsidR="005C6324" w:rsidRPr="00CF0418">
        <w:rPr>
          <w:rFonts w:asciiTheme="majorHAnsi" w:hAnsiTheme="majorHAnsi" w:cstheme="majorHAnsi"/>
          <w:lang w:eastAsia="nb-NO"/>
        </w:rPr>
        <w:t>Det faktum a</w:t>
      </w:r>
      <w:r w:rsidR="004670A8" w:rsidRPr="00CF0418">
        <w:rPr>
          <w:rFonts w:asciiTheme="majorHAnsi" w:hAnsiTheme="majorHAnsi" w:cstheme="majorHAnsi"/>
          <w:lang w:eastAsia="nb-NO"/>
        </w:rPr>
        <w:t xml:space="preserve">t </w:t>
      </w:r>
      <w:r w:rsidR="004670A8" w:rsidRPr="00CF0418">
        <w:rPr>
          <w:rFonts w:asciiTheme="majorHAnsi" w:hAnsiTheme="majorHAnsi" w:cstheme="majorHAnsi"/>
          <w:noProof/>
        </w:rPr>
        <w:t>fagskolene er nevnt ett sted i paragrafen, men tilsynela</w:t>
      </w:r>
      <w:r w:rsidR="005C6324" w:rsidRPr="00CF0418">
        <w:rPr>
          <w:rFonts w:asciiTheme="majorHAnsi" w:hAnsiTheme="majorHAnsi" w:cstheme="majorHAnsi"/>
          <w:noProof/>
        </w:rPr>
        <w:t>tende utelukket andre steder</w:t>
      </w:r>
      <w:r w:rsidR="004670A8" w:rsidRPr="00CF0418">
        <w:rPr>
          <w:rFonts w:asciiTheme="majorHAnsi" w:hAnsiTheme="majorHAnsi" w:cstheme="majorHAnsi"/>
          <w:noProof/>
        </w:rPr>
        <w:t xml:space="preserve"> etterlate</w:t>
      </w:r>
      <w:r w:rsidR="005C6324" w:rsidRPr="00CF0418">
        <w:rPr>
          <w:rFonts w:asciiTheme="majorHAnsi" w:hAnsiTheme="majorHAnsi" w:cstheme="majorHAnsi"/>
          <w:noProof/>
        </w:rPr>
        <w:t>r</w:t>
      </w:r>
      <w:r w:rsidR="004670A8" w:rsidRPr="00CF0418">
        <w:rPr>
          <w:rFonts w:asciiTheme="majorHAnsi" w:hAnsiTheme="majorHAnsi" w:cstheme="majorHAnsi"/>
          <w:noProof/>
        </w:rPr>
        <w:t xml:space="preserve"> uklarhet om NOKUTs kompetanse på dette området. </w:t>
      </w:r>
    </w:p>
    <w:p w14:paraId="7861CB9F" w14:textId="5751EEBE" w:rsidR="000254A5" w:rsidRPr="00CF0418" w:rsidRDefault="00841986" w:rsidP="00791EB9">
      <w:pPr>
        <w:rPr>
          <w:rFonts w:asciiTheme="majorHAnsi" w:hAnsiTheme="majorHAnsi" w:cstheme="majorHAnsi"/>
          <w:lang w:eastAsia="nb-NO"/>
        </w:rPr>
      </w:pPr>
      <w:r w:rsidRPr="00CF0418">
        <w:rPr>
          <w:rFonts w:asciiTheme="majorHAnsi" w:hAnsiTheme="majorHAnsi" w:cstheme="majorHAnsi"/>
          <w:lang w:eastAsia="nb-NO"/>
        </w:rPr>
        <w:t>Som nevnt fremgår det i</w:t>
      </w:r>
      <w:r w:rsidR="00E76351" w:rsidRPr="00CF0418">
        <w:rPr>
          <w:rFonts w:asciiTheme="majorHAnsi" w:hAnsiTheme="majorHAnsi" w:cstheme="majorHAnsi"/>
          <w:lang w:eastAsia="nb-NO"/>
        </w:rPr>
        <w:t xml:space="preserve"> uhl. § 2-1 </w:t>
      </w:r>
      <w:r w:rsidRPr="00CF0418">
        <w:rPr>
          <w:rFonts w:asciiTheme="majorHAnsi" w:hAnsiTheme="majorHAnsi" w:cstheme="majorHAnsi"/>
          <w:lang w:eastAsia="nb-NO"/>
        </w:rPr>
        <w:t>annet ledd</w:t>
      </w:r>
      <w:r w:rsidR="00E76351" w:rsidRPr="00CF0418">
        <w:rPr>
          <w:rFonts w:asciiTheme="majorHAnsi" w:hAnsiTheme="majorHAnsi" w:cstheme="majorHAnsi"/>
          <w:lang w:eastAsia="nb-NO"/>
        </w:rPr>
        <w:t xml:space="preserve"> at f</w:t>
      </w:r>
      <w:r w:rsidR="00E76351" w:rsidRPr="00CF0418">
        <w:rPr>
          <w:rFonts w:asciiTheme="majorHAnsi" w:hAnsiTheme="majorHAnsi" w:cstheme="majorHAnsi"/>
          <w:color w:val="333333"/>
        </w:rPr>
        <w:t>ormålet med NOKUTs virksomhet blant annet er «</w:t>
      </w:r>
      <w:r w:rsidR="00E76351" w:rsidRPr="00CF0418">
        <w:rPr>
          <w:rFonts w:asciiTheme="majorHAnsi" w:hAnsiTheme="majorHAnsi" w:cstheme="majorHAnsi"/>
          <w:i/>
          <w:color w:val="333333"/>
        </w:rPr>
        <w:t>å føre tilsyn med kvaliteten i høyere utdanning og fagskoleutdanning</w:t>
      </w:r>
      <w:r w:rsidR="00E76351" w:rsidRPr="00CF0418">
        <w:rPr>
          <w:rFonts w:asciiTheme="majorHAnsi" w:hAnsiTheme="majorHAnsi" w:cstheme="majorHAnsi"/>
          <w:i/>
          <w:lang w:eastAsia="nb-NO"/>
        </w:rPr>
        <w:t xml:space="preserve"> </w:t>
      </w:r>
      <w:r w:rsidR="00E76351" w:rsidRPr="00CF0418">
        <w:rPr>
          <w:rFonts w:asciiTheme="majorHAnsi" w:hAnsiTheme="majorHAnsi" w:cstheme="majorHAnsi"/>
          <w:lang w:eastAsia="nb-NO"/>
        </w:rPr>
        <w:t xml:space="preserve">…» I uhl. § 2-1 tredje ledd er </w:t>
      </w:r>
      <w:r w:rsidRPr="00CF0418">
        <w:rPr>
          <w:rFonts w:asciiTheme="majorHAnsi" w:hAnsiTheme="majorHAnsi" w:cstheme="majorHAnsi"/>
          <w:lang w:eastAsia="nb-NO"/>
        </w:rPr>
        <w:t xml:space="preserve">for øvrig </w:t>
      </w:r>
      <w:r w:rsidR="00E76351" w:rsidRPr="00CF0418">
        <w:rPr>
          <w:rFonts w:asciiTheme="majorHAnsi" w:hAnsiTheme="majorHAnsi" w:cstheme="majorHAnsi"/>
          <w:lang w:eastAsia="nb-NO"/>
        </w:rPr>
        <w:t>terminologien som benyttes</w:t>
      </w:r>
      <w:r w:rsidRPr="00CF0418">
        <w:rPr>
          <w:rFonts w:asciiTheme="majorHAnsi" w:hAnsiTheme="majorHAnsi" w:cstheme="majorHAnsi"/>
          <w:lang w:eastAsia="nb-NO"/>
        </w:rPr>
        <w:t xml:space="preserve"> for å angi NOKUTs konkrete oppgaver primært knyttet til universiteter og høyskoler</w:t>
      </w:r>
      <w:r w:rsidR="00E76351" w:rsidRPr="00CF0418">
        <w:rPr>
          <w:rFonts w:asciiTheme="majorHAnsi" w:hAnsiTheme="majorHAnsi" w:cstheme="majorHAnsi"/>
          <w:lang w:eastAsia="nb-NO"/>
        </w:rPr>
        <w:t>.</w:t>
      </w:r>
      <w:r w:rsidRPr="00CF0418">
        <w:rPr>
          <w:rFonts w:asciiTheme="majorHAnsi" w:hAnsiTheme="majorHAnsi" w:cstheme="majorHAnsi"/>
          <w:lang w:eastAsia="nb-NO"/>
        </w:rPr>
        <w:t xml:space="preserve"> Det fremgår for eksempel ikke at NOKUT skal akkreditere fagområder.</w:t>
      </w:r>
      <w:r w:rsidR="00E76351" w:rsidRPr="00CF0418">
        <w:rPr>
          <w:rFonts w:asciiTheme="majorHAnsi" w:hAnsiTheme="majorHAnsi" w:cstheme="majorHAnsi"/>
          <w:lang w:eastAsia="nb-NO"/>
        </w:rPr>
        <w:t xml:space="preserve"> </w:t>
      </w:r>
    </w:p>
    <w:p w14:paraId="022C7F2B" w14:textId="77777777" w:rsidR="000D5561" w:rsidRPr="00CF0418" w:rsidRDefault="009A08F2" w:rsidP="00E04033">
      <w:pPr>
        <w:rPr>
          <w:rFonts w:asciiTheme="majorHAnsi" w:hAnsiTheme="majorHAnsi" w:cstheme="majorHAnsi"/>
          <w:lang w:eastAsia="nb-NO"/>
        </w:rPr>
      </w:pPr>
      <w:r w:rsidRPr="00CF0418">
        <w:rPr>
          <w:rFonts w:asciiTheme="majorHAnsi" w:hAnsiTheme="majorHAnsi" w:cstheme="majorHAnsi"/>
          <w:lang w:eastAsia="nb-NO"/>
        </w:rPr>
        <w:t>I §</w:t>
      </w:r>
      <w:r w:rsidR="005939A4" w:rsidRPr="00CF0418">
        <w:rPr>
          <w:rFonts w:asciiTheme="majorHAnsi" w:hAnsiTheme="majorHAnsi" w:cstheme="majorHAnsi"/>
          <w:lang w:eastAsia="nb-NO"/>
        </w:rPr>
        <w:t xml:space="preserve"> </w:t>
      </w:r>
      <w:r w:rsidRPr="00CF0418">
        <w:rPr>
          <w:rFonts w:asciiTheme="majorHAnsi" w:hAnsiTheme="majorHAnsi" w:cstheme="majorHAnsi"/>
          <w:lang w:eastAsia="nb-NO"/>
        </w:rPr>
        <w:t>2-1 tredje ledd</w:t>
      </w:r>
      <w:r w:rsidR="005939A4" w:rsidRPr="00CF0418">
        <w:rPr>
          <w:rFonts w:asciiTheme="majorHAnsi" w:hAnsiTheme="majorHAnsi" w:cstheme="majorHAnsi"/>
          <w:lang w:eastAsia="nb-NO"/>
        </w:rPr>
        <w:t xml:space="preserve"> fastsettes det</w:t>
      </w:r>
      <w:r w:rsidR="000D5561" w:rsidRPr="00CF0418">
        <w:rPr>
          <w:rFonts w:asciiTheme="majorHAnsi" w:hAnsiTheme="majorHAnsi" w:cstheme="majorHAnsi"/>
          <w:lang w:eastAsia="nb-NO"/>
        </w:rPr>
        <w:t xml:space="preserve"> også</w:t>
      </w:r>
      <w:r w:rsidR="005939A4" w:rsidRPr="00CF0418">
        <w:rPr>
          <w:rFonts w:asciiTheme="majorHAnsi" w:hAnsiTheme="majorHAnsi" w:cstheme="majorHAnsi"/>
          <w:lang w:eastAsia="nb-NO"/>
        </w:rPr>
        <w:t xml:space="preserve"> at </w:t>
      </w:r>
      <w:r w:rsidR="00E04033" w:rsidRPr="00CF0418">
        <w:rPr>
          <w:rFonts w:asciiTheme="majorHAnsi" w:hAnsiTheme="majorHAnsi" w:cstheme="majorHAnsi"/>
          <w:lang w:eastAsia="nb-NO"/>
        </w:rPr>
        <w:t>NOKUT skal «</w:t>
      </w:r>
      <w:r w:rsidR="00E04033" w:rsidRPr="00CF0418">
        <w:rPr>
          <w:rFonts w:asciiTheme="majorHAnsi" w:hAnsiTheme="majorHAnsi" w:cstheme="majorHAnsi"/>
          <w:i/>
          <w:lang w:eastAsia="nb-NO"/>
        </w:rPr>
        <w:t>føre tilsyn med institusjonenes kvalitetsarbeid</w:t>
      </w:r>
      <w:r w:rsidR="00E04033" w:rsidRPr="00CF0418">
        <w:rPr>
          <w:rFonts w:asciiTheme="majorHAnsi" w:hAnsiTheme="majorHAnsi" w:cstheme="majorHAnsi"/>
          <w:lang w:eastAsia="nb-NO"/>
        </w:rPr>
        <w:t>».</w:t>
      </w:r>
      <w:r w:rsidR="005939A4" w:rsidRPr="00CF0418">
        <w:rPr>
          <w:rFonts w:asciiTheme="majorHAnsi" w:hAnsiTheme="majorHAnsi" w:cstheme="majorHAnsi"/>
          <w:lang w:eastAsia="nb-NO"/>
        </w:rPr>
        <w:t xml:space="preserve"> D</w:t>
      </w:r>
      <w:r w:rsidR="00E04033" w:rsidRPr="00CF0418">
        <w:rPr>
          <w:rFonts w:asciiTheme="majorHAnsi" w:hAnsiTheme="majorHAnsi" w:cstheme="majorHAnsi"/>
          <w:lang w:eastAsia="nb-NO"/>
        </w:rPr>
        <w:t xml:space="preserve">et er </w:t>
      </w:r>
      <w:r w:rsidR="005939A4" w:rsidRPr="00CF0418">
        <w:rPr>
          <w:rFonts w:asciiTheme="majorHAnsi" w:hAnsiTheme="majorHAnsi" w:cstheme="majorHAnsi"/>
          <w:lang w:eastAsia="nb-NO"/>
        </w:rPr>
        <w:t xml:space="preserve">for øvrig </w:t>
      </w:r>
      <w:r w:rsidR="00E04033" w:rsidRPr="00CF0418">
        <w:rPr>
          <w:rFonts w:asciiTheme="majorHAnsi" w:hAnsiTheme="majorHAnsi" w:cstheme="majorHAnsi"/>
          <w:lang w:eastAsia="nb-NO"/>
        </w:rPr>
        <w:t>usikkert om NOKUT skal føre tilsyn m</w:t>
      </w:r>
      <w:r w:rsidR="000D5561" w:rsidRPr="00CF0418">
        <w:rPr>
          <w:rFonts w:asciiTheme="majorHAnsi" w:hAnsiTheme="majorHAnsi" w:cstheme="majorHAnsi"/>
          <w:lang w:eastAsia="nb-NO"/>
        </w:rPr>
        <w:t xml:space="preserve">ed fagskolenes kvalitetsarbeid, </w:t>
      </w:r>
      <w:r w:rsidR="00E04033" w:rsidRPr="00CF0418">
        <w:rPr>
          <w:rFonts w:asciiTheme="majorHAnsi" w:hAnsiTheme="majorHAnsi" w:cstheme="majorHAnsi"/>
          <w:lang w:eastAsia="nb-NO"/>
        </w:rPr>
        <w:t xml:space="preserve">som </w:t>
      </w:r>
      <w:r w:rsidR="000D5561" w:rsidRPr="00CF0418">
        <w:rPr>
          <w:rFonts w:asciiTheme="majorHAnsi" w:hAnsiTheme="majorHAnsi" w:cstheme="majorHAnsi"/>
          <w:lang w:eastAsia="nb-NO"/>
        </w:rPr>
        <w:t xml:space="preserve">heller </w:t>
      </w:r>
      <w:r w:rsidR="00E04033" w:rsidRPr="00CF0418">
        <w:rPr>
          <w:rFonts w:asciiTheme="majorHAnsi" w:hAnsiTheme="majorHAnsi" w:cstheme="majorHAnsi"/>
          <w:lang w:eastAsia="nb-NO"/>
        </w:rPr>
        <w:t>ik</w:t>
      </w:r>
      <w:r w:rsidR="000D5561" w:rsidRPr="00CF0418">
        <w:rPr>
          <w:rFonts w:asciiTheme="majorHAnsi" w:hAnsiTheme="majorHAnsi" w:cstheme="majorHAnsi"/>
          <w:lang w:eastAsia="nb-NO"/>
        </w:rPr>
        <w:t>ke er beskrevet i fagskoleloven</w:t>
      </w:r>
      <w:r w:rsidR="00E04033" w:rsidRPr="00CF0418">
        <w:rPr>
          <w:rFonts w:asciiTheme="majorHAnsi" w:hAnsiTheme="majorHAnsi" w:cstheme="majorHAnsi"/>
          <w:lang w:eastAsia="nb-NO"/>
        </w:rPr>
        <w:t>.</w:t>
      </w:r>
      <w:r w:rsidR="0077293C" w:rsidRPr="00CF0418">
        <w:rPr>
          <w:rFonts w:asciiTheme="majorHAnsi" w:hAnsiTheme="majorHAnsi" w:cstheme="majorHAnsi"/>
          <w:lang w:eastAsia="nb-NO"/>
        </w:rPr>
        <w:t xml:space="preserve"> </w:t>
      </w:r>
    </w:p>
    <w:p w14:paraId="3190FBB4" w14:textId="5A75FC4F" w:rsidR="00E04033" w:rsidRPr="00CF0418" w:rsidRDefault="000D5561" w:rsidP="00E04033">
      <w:pPr>
        <w:rPr>
          <w:rFonts w:asciiTheme="majorHAnsi" w:hAnsiTheme="majorHAnsi" w:cstheme="majorHAnsi"/>
          <w:lang w:eastAsia="nb-NO"/>
        </w:rPr>
      </w:pPr>
      <w:r w:rsidRPr="00CF0418">
        <w:rPr>
          <w:rFonts w:asciiTheme="majorHAnsi" w:hAnsiTheme="majorHAnsi" w:cstheme="majorHAnsi"/>
          <w:lang w:eastAsia="nb-NO"/>
        </w:rPr>
        <w:t>Fagskoleloven gir i</w:t>
      </w:r>
      <w:r w:rsidR="00E04033" w:rsidRPr="00CF0418">
        <w:rPr>
          <w:rFonts w:asciiTheme="majorHAnsi" w:hAnsiTheme="majorHAnsi" w:cstheme="majorHAnsi"/>
          <w:lang w:eastAsia="nb-NO"/>
        </w:rPr>
        <w:t xml:space="preserve"> begrenset grad en beskrivelse av NOKUTs oppgaver – særlig når det gjelder tilsynsmandatet. Det mest sentrale finnes i § 5 første ledd: «</w:t>
      </w:r>
      <w:r w:rsidR="00E04033" w:rsidRPr="00CF0418">
        <w:rPr>
          <w:rFonts w:asciiTheme="majorHAnsi" w:hAnsiTheme="majorHAnsi" w:cstheme="majorHAnsi"/>
          <w:i/>
          <w:lang w:eastAsia="nb-NO"/>
        </w:rPr>
        <w:t>Nasjonalt organ for kvalitet i utdanningen (NOKUT) fører tilsyn med kvaliteten i høyere yrkesfaglig utdanning og akkrediterer fagskoleutdanning, jf. lov 1. april 2005 nr. 15 om universiteter og høyskoler kapittel 2</w:t>
      </w:r>
      <w:r w:rsidR="00E04033" w:rsidRPr="00CF0418">
        <w:rPr>
          <w:rFonts w:asciiTheme="majorHAnsi" w:hAnsiTheme="majorHAnsi" w:cstheme="majorHAnsi"/>
          <w:lang w:eastAsia="nb-NO"/>
        </w:rPr>
        <w:t>.»</w:t>
      </w:r>
      <w:r w:rsidR="0077293C" w:rsidRPr="00CF0418">
        <w:rPr>
          <w:rFonts w:asciiTheme="majorHAnsi" w:hAnsiTheme="majorHAnsi" w:cstheme="majorHAnsi"/>
          <w:lang w:eastAsia="nb-NO"/>
        </w:rPr>
        <w:t xml:space="preserve"> </w:t>
      </w:r>
      <w:r w:rsidR="00E04033" w:rsidRPr="00CF0418">
        <w:rPr>
          <w:rFonts w:asciiTheme="majorHAnsi" w:hAnsiTheme="majorHAnsi" w:cstheme="majorHAnsi"/>
          <w:lang w:eastAsia="nb-NO"/>
        </w:rPr>
        <w:t>Henvisningen til kapittel 2 i uhl</w:t>
      </w:r>
      <w:r w:rsidR="00403E1C" w:rsidRPr="00CF0418">
        <w:rPr>
          <w:rFonts w:asciiTheme="majorHAnsi" w:hAnsiTheme="majorHAnsi" w:cstheme="majorHAnsi"/>
          <w:lang w:eastAsia="nb-NO"/>
        </w:rPr>
        <w:t>.</w:t>
      </w:r>
      <w:r w:rsidR="00E04033" w:rsidRPr="00CF0418">
        <w:rPr>
          <w:rFonts w:asciiTheme="majorHAnsi" w:hAnsiTheme="majorHAnsi" w:cstheme="majorHAnsi"/>
          <w:lang w:eastAsia="nb-NO"/>
        </w:rPr>
        <w:t xml:space="preserve"> synes å romme at NOKUT også skal føre tilsyn med fagskolenes kvalitetsarbeid – noe som ikke er nevnt hverken i fagskoleloven eller i K</w:t>
      </w:r>
      <w:r w:rsidR="005939A4" w:rsidRPr="00CF0418">
        <w:rPr>
          <w:rFonts w:asciiTheme="majorHAnsi" w:hAnsiTheme="majorHAnsi" w:cstheme="majorHAnsi"/>
          <w:lang w:eastAsia="nb-NO"/>
        </w:rPr>
        <w:t>unnskapsdepartementets</w:t>
      </w:r>
      <w:r w:rsidR="00E04033" w:rsidRPr="00CF0418">
        <w:rPr>
          <w:rFonts w:asciiTheme="majorHAnsi" w:hAnsiTheme="majorHAnsi" w:cstheme="majorHAnsi"/>
          <w:lang w:eastAsia="nb-NO"/>
        </w:rPr>
        <w:t xml:space="preserve"> tildelingsbrev. </w:t>
      </w:r>
    </w:p>
    <w:p w14:paraId="1ADB24EB" w14:textId="7C3170C3" w:rsidR="00E04033" w:rsidRPr="00CF0418" w:rsidRDefault="000D5561" w:rsidP="00E04033">
      <w:pPr>
        <w:rPr>
          <w:rFonts w:asciiTheme="majorHAnsi" w:hAnsiTheme="majorHAnsi" w:cstheme="majorHAnsi"/>
          <w:lang w:eastAsia="nb-NO"/>
        </w:rPr>
      </w:pPr>
      <w:r w:rsidRPr="00CF0418">
        <w:rPr>
          <w:rFonts w:asciiTheme="majorHAnsi" w:hAnsiTheme="majorHAnsi" w:cstheme="majorHAnsi"/>
          <w:lang w:eastAsia="nb-NO"/>
        </w:rPr>
        <w:t>Videre kan</w:t>
      </w:r>
      <w:r w:rsidR="00E04033" w:rsidRPr="00CF0418">
        <w:rPr>
          <w:rFonts w:asciiTheme="majorHAnsi" w:hAnsiTheme="majorHAnsi" w:cstheme="majorHAnsi"/>
          <w:lang w:eastAsia="nb-NO"/>
        </w:rPr>
        <w:t xml:space="preserve"> </w:t>
      </w:r>
      <w:r w:rsidR="00293365" w:rsidRPr="00CF0418">
        <w:rPr>
          <w:rFonts w:asciiTheme="majorHAnsi" w:hAnsiTheme="majorHAnsi" w:cstheme="majorHAnsi"/>
          <w:lang w:eastAsia="nb-NO"/>
        </w:rPr>
        <w:t xml:space="preserve">også </w:t>
      </w:r>
      <w:r w:rsidR="00E04033" w:rsidRPr="00CF0418">
        <w:rPr>
          <w:rFonts w:asciiTheme="majorHAnsi" w:hAnsiTheme="majorHAnsi" w:cstheme="majorHAnsi"/>
          <w:lang w:eastAsia="nb-NO"/>
        </w:rPr>
        <w:t>uhl</w:t>
      </w:r>
      <w:r w:rsidR="003A17B6" w:rsidRPr="00CF0418">
        <w:rPr>
          <w:rFonts w:asciiTheme="majorHAnsi" w:hAnsiTheme="majorHAnsi" w:cstheme="majorHAnsi"/>
          <w:lang w:eastAsia="nb-NO"/>
        </w:rPr>
        <w:t>.</w:t>
      </w:r>
      <w:r w:rsidR="00E04033" w:rsidRPr="00CF0418">
        <w:rPr>
          <w:rFonts w:asciiTheme="majorHAnsi" w:hAnsiTheme="majorHAnsi" w:cstheme="majorHAnsi"/>
          <w:lang w:eastAsia="nb-NO"/>
        </w:rPr>
        <w:t xml:space="preserve"> § 2-1 </w:t>
      </w:r>
      <w:r w:rsidR="003A17B6" w:rsidRPr="00CF0418">
        <w:rPr>
          <w:rFonts w:asciiTheme="majorHAnsi" w:hAnsiTheme="majorHAnsi" w:cstheme="majorHAnsi"/>
          <w:lang w:eastAsia="nb-NO"/>
        </w:rPr>
        <w:t>fjerde ledd</w:t>
      </w:r>
      <w:r w:rsidRPr="00CF0418">
        <w:rPr>
          <w:rFonts w:asciiTheme="majorHAnsi" w:hAnsiTheme="majorHAnsi" w:cstheme="majorHAnsi"/>
          <w:lang w:eastAsia="nb-NO"/>
        </w:rPr>
        <w:t xml:space="preserve"> nevnes.</w:t>
      </w:r>
      <w:r w:rsidR="00E04033" w:rsidRPr="00CF0418">
        <w:rPr>
          <w:rFonts w:asciiTheme="majorHAnsi" w:hAnsiTheme="majorHAnsi" w:cstheme="majorHAnsi"/>
          <w:lang w:eastAsia="nb-NO"/>
        </w:rPr>
        <w:t xml:space="preserve"> Her heter det at «</w:t>
      </w:r>
      <w:r w:rsidR="00E04033" w:rsidRPr="00CF0418">
        <w:rPr>
          <w:rFonts w:asciiTheme="majorHAnsi" w:hAnsiTheme="majorHAnsi" w:cstheme="majorHAnsi"/>
          <w:i/>
          <w:lang w:eastAsia="nb-NO"/>
        </w:rPr>
        <w:t>NOKUT skal gjennomføre evalueringer av betydning for å kunne bedømme kvaliteten i høyere utdanning</w:t>
      </w:r>
      <w:r w:rsidR="00E04033" w:rsidRPr="00CF0418">
        <w:rPr>
          <w:rFonts w:asciiTheme="majorHAnsi" w:hAnsiTheme="majorHAnsi" w:cstheme="majorHAnsi"/>
          <w:lang w:eastAsia="nb-NO"/>
        </w:rPr>
        <w:t>.»</w:t>
      </w:r>
      <w:r w:rsidR="00E506CE" w:rsidRPr="00CF0418">
        <w:rPr>
          <w:rFonts w:asciiTheme="majorHAnsi" w:hAnsiTheme="majorHAnsi" w:cstheme="majorHAnsi"/>
          <w:lang w:eastAsia="nb-NO"/>
        </w:rPr>
        <w:t xml:space="preserve"> </w:t>
      </w:r>
      <w:r w:rsidR="00E04033" w:rsidRPr="00CF0418">
        <w:rPr>
          <w:rFonts w:asciiTheme="majorHAnsi" w:hAnsiTheme="majorHAnsi" w:cstheme="majorHAnsi"/>
          <w:lang w:eastAsia="nb-NO"/>
        </w:rPr>
        <w:t>Hvis reguleringen av NOKUT i uhl</w:t>
      </w:r>
      <w:r w:rsidR="003A17B6" w:rsidRPr="00CF0418">
        <w:rPr>
          <w:rFonts w:asciiTheme="majorHAnsi" w:hAnsiTheme="majorHAnsi" w:cstheme="majorHAnsi"/>
          <w:lang w:eastAsia="nb-NO"/>
        </w:rPr>
        <w:t>.</w:t>
      </w:r>
      <w:r w:rsidR="00E04033" w:rsidRPr="00CF0418">
        <w:rPr>
          <w:rFonts w:asciiTheme="majorHAnsi" w:hAnsiTheme="majorHAnsi" w:cstheme="majorHAnsi"/>
          <w:lang w:eastAsia="nb-NO"/>
        </w:rPr>
        <w:t xml:space="preserve"> er tenkt å omfatte både høyere utdanning og høyere yrkesfaglig utdanning, er det da bevisst fra lovgivers side at evalueringsvirkemiddelet ikke skal anvendes på fagskoleutdanning?</w:t>
      </w:r>
    </w:p>
    <w:p w14:paraId="56C8FBEA" w14:textId="694501F1" w:rsidR="00E04033" w:rsidRPr="00CF0418" w:rsidRDefault="00E04033" w:rsidP="00E04033">
      <w:pPr>
        <w:rPr>
          <w:rFonts w:asciiTheme="majorHAnsi" w:hAnsiTheme="majorHAnsi" w:cstheme="majorHAnsi"/>
          <w:lang w:eastAsia="nb-NO"/>
        </w:rPr>
      </w:pPr>
      <w:r w:rsidRPr="00CF0418">
        <w:rPr>
          <w:rFonts w:asciiTheme="majorHAnsi" w:hAnsiTheme="majorHAnsi" w:cstheme="majorHAnsi"/>
          <w:lang w:eastAsia="nb-NO"/>
        </w:rPr>
        <w:t>Vårt ønske er at det kommer på plass en tydeligere regulering av NOKUTs formål og oppgaver overfor henholdsvis høyere utdanning og høyere yrkesfaglig utdanning. Vårt forslag er at NOKUT som organ reguleres i uhl</w:t>
      </w:r>
      <w:r w:rsidR="00023495" w:rsidRPr="00CF0418">
        <w:rPr>
          <w:rFonts w:asciiTheme="majorHAnsi" w:hAnsiTheme="majorHAnsi" w:cstheme="majorHAnsi"/>
          <w:lang w:eastAsia="nb-NO"/>
        </w:rPr>
        <w:t>.</w:t>
      </w:r>
      <w:r w:rsidRPr="00CF0418">
        <w:rPr>
          <w:rFonts w:asciiTheme="majorHAnsi" w:hAnsiTheme="majorHAnsi" w:cstheme="majorHAnsi"/>
          <w:lang w:eastAsia="nb-NO"/>
        </w:rPr>
        <w:t xml:space="preserve">, og at formål og oppgaver overfor de to sektorene reguleres i de respektive lovene. Alternativt må en fullstendig regulering av begge utdanningstypene nedfelles i </w:t>
      </w:r>
      <w:r w:rsidR="00023495" w:rsidRPr="00CF0418">
        <w:rPr>
          <w:rFonts w:asciiTheme="majorHAnsi" w:hAnsiTheme="majorHAnsi" w:cstheme="majorHAnsi"/>
          <w:lang w:eastAsia="nb-NO"/>
        </w:rPr>
        <w:t>uhl</w:t>
      </w:r>
      <w:r w:rsidRPr="00CF0418">
        <w:rPr>
          <w:rFonts w:asciiTheme="majorHAnsi" w:hAnsiTheme="majorHAnsi" w:cstheme="majorHAnsi"/>
          <w:lang w:eastAsia="nb-NO"/>
        </w:rPr>
        <w:t>.</w:t>
      </w:r>
    </w:p>
    <w:p w14:paraId="34DDF011" w14:textId="07AC95AF" w:rsidR="00FF5AA4" w:rsidRPr="00F502B7" w:rsidRDefault="00FF5AA4" w:rsidP="00791EB9">
      <w:pPr>
        <w:pStyle w:val="Overskrift1"/>
        <w:numPr>
          <w:ilvl w:val="0"/>
          <w:numId w:val="2"/>
        </w:numPr>
        <w:spacing w:before="0"/>
        <w:rPr>
          <w:rFonts w:eastAsia="Times New Roman" w:cstheme="majorHAnsi"/>
          <w:sz w:val="28"/>
          <w:szCs w:val="22"/>
          <w:lang w:eastAsia="nb-NO"/>
        </w:rPr>
      </w:pPr>
      <w:bookmarkStart w:id="7" w:name="_Toc9835494"/>
      <w:r w:rsidRPr="00F502B7">
        <w:rPr>
          <w:rFonts w:eastAsia="Times New Roman" w:cstheme="majorHAnsi"/>
          <w:sz w:val="28"/>
          <w:szCs w:val="22"/>
          <w:lang w:eastAsia="nb-NO"/>
        </w:rPr>
        <w:t>Rettstekniske forhold</w:t>
      </w:r>
      <w:bookmarkEnd w:id="7"/>
    </w:p>
    <w:p w14:paraId="3C169313" w14:textId="50CE7867" w:rsidR="007E1FAC" w:rsidRPr="00C405F9" w:rsidRDefault="007E1FAC" w:rsidP="00791EB9">
      <w:pPr>
        <w:pStyle w:val="Overskrift1"/>
        <w:numPr>
          <w:ilvl w:val="1"/>
          <w:numId w:val="2"/>
        </w:numPr>
        <w:spacing w:before="0"/>
        <w:rPr>
          <w:rFonts w:eastAsia="Times New Roman" w:cstheme="majorHAnsi"/>
          <w:sz w:val="22"/>
          <w:szCs w:val="22"/>
          <w:lang w:eastAsia="nb-NO"/>
        </w:rPr>
      </w:pPr>
      <w:bookmarkStart w:id="8" w:name="_Toc9835495"/>
      <w:r w:rsidRPr="00C405F9">
        <w:rPr>
          <w:rFonts w:eastAsia="Times New Roman" w:cstheme="majorHAnsi"/>
          <w:sz w:val="22"/>
          <w:szCs w:val="22"/>
          <w:lang w:eastAsia="nb-NO"/>
        </w:rPr>
        <w:t>Bestemmelsens overskrift</w:t>
      </w:r>
      <w:bookmarkEnd w:id="8"/>
    </w:p>
    <w:p w14:paraId="2B4D4C80" w14:textId="34FB9CA0" w:rsidR="00716EAA" w:rsidRDefault="00FA1BD2" w:rsidP="00507ED5">
      <w:pPr>
        <w:spacing w:after="0" w:line="330" w:lineRule="atLeast"/>
        <w:textAlignment w:val="center"/>
        <w:rPr>
          <w:rFonts w:asciiTheme="majorHAnsi" w:eastAsia="Times New Roman" w:hAnsiTheme="majorHAnsi" w:cstheme="majorHAnsi"/>
          <w:color w:val="333333"/>
          <w:lang w:eastAsia="nb-NO"/>
        </w:rPr>
      </w:pPr>
      <w:r w:rsidRPr="00FA1BD2">
        <w:rPr>
          <w:rFonts w:asciiTheme="majorHAnsi" w:eastAsia="Times New Roman" w:hAnsiTheme="majorHAnsi" w:cstheme="majorHAnsi"/>
          <w:color w:val="333333"/>
          <w:lang w:eastAsia="nb-NO"/>
        </w:rPr>
        <w:t xml:space="preserve">Bestemmelsens overskrift bør kort oppsummere hva bestemmelsen </w:t>
      </w:r>
      <w:r>
        <w:rPr>
          <w:rFonts w:asciiTheme="majorHAnsi" w:eastAsia="Times New Roman" w:hAnsiTheme="majorHAnsi" w:cstheme="majorHAnsi"/>
          <w:color w:val="333333"/>
          <w:lang w:eastAsia="nb-NO"/>
        </w:rPr>
        <w:t xml:space="preserve">handler om. I </w:t>
      </w:r>
      <w:r w:rsidR="00B90EEE" w:rsidRPr="00C405F9">
        <w:rPr>
          <w:rFonts w:asciiTheme="majorHAnsi" w:eastAsia="Times New Roman" w:hAnsiTheme="majorHAnsi" w:cstheme="majorHAnsi"/>
          <w:color w:val="333333"/>
          <w:lang w:eastAsia="nb-NO"/>
        </w:rPr>
        <w:t xml:space="preserve">dag </w:t>
      </w:r>
      <w:r>
        <w:rPr>
          <w:rFonts w:asciiTheme="majorHAnsi" w:eastAsia="Times New Roman" w:hAnsiTheme="majorHAnsi" w:cstheme="majorHAnsi"/>
          <w:color w:val="333333"/>
          <w:lang w:eastAsia="nb-NO"/>
        </w:rPr>
        <w:t>er b</w:t>
      </w:r>
      <w:r w:rsidRPr="00C405F9">
        <w:rPr>
          <w:rFonts w:asciiTheme="majorHAnsi" w:eastAsia="Times New Roman" w:hAnsiTheme="majorHAnsi" w:cstheme="majorHAnsi"/>
          <w:color w:val="333333"/>
          <w:lang w:eastAsia="nb-NO"/>
        </w:rPr>
        <w:t xml:space="preserve">estemmelsen </w:t>
      </w:r>
      <w:r>
        <w:rPr>
          <w:rFonts w:asciiTheme="majorHAnsi" w:eastAsia="Times New Roman" w:hAnsiTheme="majorHAnsi" w:cstheme="majorHAnsi"/>
          <w:color w:val="333333"/>
          <w:lang w:eastAsia="nb-NO"/>
        </w:rPr>
        <w:t xml:space="preserve">overskrift </w:t>
      </w:r>
      <w:r w:rsidR="00B90EEE" w:rsidRPr="00C405F9">
        <w:rPr>
          <w:rFonts w:asciiTheme="majorHAnsi" w:eastAsia="Times New Roman" w:hAnsiTheme="majorHAnsi" w:cstheme="majorHAnsi"/>
          <w:color w:val="333333"/>
          <w:lang w:eastAsia="nb-NO"/>
        </w:rPr>
        <w:t>«</w:t>
      </w:r>
      <w:r w:rsidR="00B90EEE" w:rsidRPr="00C405F9">
        <w:rPr>
          <w:rFonts w:asciiTheme="majorHAnsi" w:eastAsia="Times New Roman" w:hAnsiTheme="majorHAnsi" w:cstheme="majorHAnsi"/>
          <w:i/>
          <w:color w:val="333333"/>
          <w:lang w:eastAsia="nb-NO"/>
        </w:rPr>
        <w:t>NOKUTs oppgaver og myndighet</w:t>
      </w:r>
      <w:r w:rsidR="00B90EEE" w:rsidRPr="00C405F9">
        <w:rPr>
          <w:rFonts w:asciiTheme="majorHAnsi" w:eastAsia="Times New Roman" w:hAnsiTheme="majorHAnsi" w:cstheme="majorHAnsi"/>
          <w:color w:val="333333"/>
          <w:lang w:eastAsia="nb-NO"/>
        </w:rPr>
        <w:t xml:space="preserve">». </w:t>
      </w:r>
      <w:r w:rsidR="007C4CDC">
        <w:rPr>
          <w:rFonts w:asciiTheme="majorHAnsi" w:eastAsia="Times New Roman" w:hAnsiTheme="majorHAnsi" w:cstheme="majorHAnsi"/>
          <w:color w:val="333333"/>
          <w:lang w:eastAsia="nb-NO"/>
        </w:rPr>
        <w:t xml:space="preserve">Dette er </w:t>
      </w:r>
      <w:r w:rsidR="002D714C">
        <w:rPr>
          <w:rFonts w:asciiTheme="majorHAnsi" w:eastAsia="Times New Roman" w:hAnsiTheme="majorHAnsi" w:cstheme="majorHAnsi"/>
          <w:color w:val="333333"/>
          <w:lang w:eastAsia="nb-NO"/>
        </w:rPr>
        <w:t xml:space="preserve">i </w:t>
      </w:r>
      <w:r w:rsidR="004F6DC1">
        <w:rPr>
          <w:rFonts w:asciiTheme="majorHAnsi" w:eastAsia="Times New Roman" w:hAnsiTheme="majorHAnsi" w:cstheme="majorHAnsi"/>
          <w:color w:val="333333"/>
          <w:lang w:eastAsia="nb-NO"/>
        </w:rPr>
        <w:t>stort</w:t>
      </w:r>
      <w:r w:rsidR="002D714C">
        <w:rPr>
          <w:rFonts w:asciiTheme="majorHAnsi" w:eastAsia="Times New Roman" w:hAnsiTheme="majorHAnsi" w:cstheme="majorHAnsi"/>
          <w:color w:val="333333"/>
          <w:lang w:eastAsia="nb-NO"/>
        </w:rPr>
        <w:t xml:space="preserve"> </w:t>
      </w:r>
      <w:r w:rsidR="007C4CDC">
        <w:rPr>
          <w:rFonts w:asciiTheme="majorHAnsi" w:eastAsia="Times New Roman" w:hAnsiTheme="majorHAnsi" w:cstheme="majorHAnsi"/>
          <w:color w:val="333333"/>
          <w:lang w:eastAsia="nb-NO"/>
        </w:rPr>
        <w:t xml:space="preserve">dekkende for hva </w:t>
      </w:r>
      <w:r w:rsidR="007C4CDC">
        <w:rPr>
          <w:rFonts w:asciiTheme="majorHAnsi" w:eastAsia="Times New Roman" w:hAnsiTheme="majorHAnsi" w:cstheme="majorHAnsi"/>
          <w:color w:val="333333"/>
          <w:lang w:eastAsia="nb-NO"/>
        </w:rPr>
        <w:lastRenderedPageBreak/>
        <w:t xml:space="preserve">bestemmelsen regulerer. </w:t>
      </w:r>
      <w:r w:rsidR="00E8222D">
        <w:rPr>
          <w:rFonts w:asciiTheme="majorHAnsi" w:eastAsia="Times New Roman" w:hAnsiTheme="majorHAnsi" w:cstheme="majorHAnsi"/>
          <w:color w:val="333333"/>
          <w:lang w:eastAsia="nb-NO"/>
        </w:rPr>
        <w:t>NOKUT mener for øvrig at det bør vurderes å snu om på angivelsen: «</w:t>
      </w:r>
      <w:r w:rsidR="00E8222D" w:rsidRPr="005A210D">
        <w:rPr>
          <w:rFonts w:asciiTheme="majorHAnsi" w:eastAsia="Times New Roman" w:hAnsiTheme="majorHAnsi" w:cstheme="majorHAnsi"/>
          <w:i/>
          <w:color w:val="333333"/>
          <w:lang w:eastAsia="nb-NO"/>
        </w:rPr>
        <w:t>NOKUTs myndighet og oppgaver</w:t>
      </w:r>
      <w:r w:rsidR="00E8222D">
        <w:rPr>
          <w:rFonts w:asciiTheme="majorHAnsi" w:eastAsia="Times New Roman" w:hAnsiTheme="majorHAnsi" w:cstheme="majorHAnsi"/>
          <w:color w:val="333333"/>
          <w:lang w:eastAsia="nb-NO"/>
        </w:rPr>
        <w:t>» da dette i større grad harmonerer med kr</w:t>
      </w:r>
      <w:r w:rsidR="00673BFE">
        <w:rPr>
          <w:rFonts w:asciiTheme="majorHAnsi" w:eastAsia="Times New Roman" w:hAnsiTheme="majorHAnsi" w:cstheme="majorHAnsi"/>
          <w:color w:val="333333"/>
          <w:lang w:eastAsia="nb-NO"/>
        </w:rPr>
        <w:t>onologien i selve bestemmelsen.</w:t>
      </w:r>
      <w:r w:rsidR="00E8222D">
        <w:rPr>
          <w:rFonts w:asciiTheme="majorHAnsi" w:eastAsia="Times New Roman" w:hAnsiTheme="majorHAnsi" w:cstheme="majorHAnsi"/>
          <w:color w:val="333333"/>
          <w:lang w:eastAsia="nb-NO"/>
        </w:rPr>
        <w:t xml:space="preserve"> I tillegg </w:t>
      </w:r>
      <w:r w:rsidR="007C4CDC">
        <w:rPr>
          <w:rFonts w:asciiTheme="majorHAnsi" w:eastAsia="Times New Roman" w:hAnsiTheme="majorHAnsi" w:cstheme="majorHAnsi"/>
          <w:color w:val="333333"/>
          <w:lang w:eastAsia="nb-NO"/>
        </w:rPr>
        <w:t>kan begrepet «</w:t>
      </w:r>
      <w:r w:rsidR="007C4CDC" w:rsidRPr="007C4CDC">
        <w:rPr>
          <w:rFonts w:asciiTheme="majorHAnsi" w:eastAsia="Times New Roman" w:hAnsiTheme="majorHAnsi" w:cstheme="majorHAnsi"/>
          <w:i/>
          <w:color w:val="333333"/>
          <w:lang w:eastAsia="nb-NO"/>
        </w:rPr>
        <w:t>myndighet</w:t>
      </w:r>
      <w:r w:rsidR="007C4CDC">
        <w:rPr>
          <w:rFonts w:asciiTheme="majorHAnsi" w:eastAsia="Times New Roman" w:hAnsiTheme="majorHAnsi" w:cstheme="majorHAnsi"/>
          <w:color w:val="333333"/>
          <w:lang w:eastAsia="nb-NO"/>
        </w:rPr>
        <w:t xml:space="preserve">» sies å være mer </w:t>
      </w:r>
      <w:r w:rsidR="002D714C">
        <w:rPr>
          <w:rFonts w:asciiTheme="majorHAnsi" w:eastAsia="Times New Roman" w:hAnsiTheme="majorHAnsi" w:cstheme="majorHAnsi"/>
          <w:color w:val="333333"/>
          <w:lang w:eastAsia="nb-NO"/>
        </w:rPr>
        <w:t>omfattende</w:t>
      </w:r>
      <w:r w:rsidR="004D7186">
        <w:rPr>
          <w:rFonts w:asciiTheme="majorHAnsi" w:eastAsia="Times New Roman" w:hAnsiTheme="majorHAnsi" w:cstheme="majorHAnsi"/>
          <w:color w:val="333333"/>
          <w:lang w:eastAsia="nb-NO"/>
        </w:rPr>
        <w:t xml:space="preserve"> enn </w:t>
      </w:r>
      <w:r w:rsidR="007C4CDC">
        <w:rPr>
          <w:rFonts w:asciiTheme="majorHAnsi" w:eastAsia="Times New Roman" w:hAnsiTheme="majorHAnsi" w:cstheme="majorHAnsi"/>
          <w:color w:val="333333"/>
          <w:lang w:eastAsia="nb-NO"/>
        </w:rPr>
        <w:t>«</w:t>
      </w:r>
      <w:r w:rsidR="007C4CDC" w:rsidRPr="007C4CDC">
        <w:rPr>
          <w:rFonts w:asciiTheme="majorHAnsi" w:eastAsia="Times New Roman" w:hAnsiTheme="majorHAnsi" w:cstheme="majorHAnsi"/>
          <w:i/>
          <w:color w:val="333333"/>
          <w:lang w:eastAsia="nb-NO"/>
        </w:rPr>
        <w:t>oppgaver</w:t>
      </w:r>
      <w:r w:rsidR="007C4CDC">
        <w:rPr>
          <w:rFonts w:asciiTheme="majorHAnsi" w:eastAsia="Times New Roman" w:hAnsiTheme="majorHAnsi" w:cstheme="majorHAnsi"/>
          <w:color w:val="333333"/>
          <w:lang w:eastAsia="nb-NO"/>
        </w:rPr>
        <w:t>»</w:t>
      </w:r>
      <w:r w:rsidR="0034466B">
        <w:rPr>
          <w:rFonts w:asciiTheme="majorHAnsi" w:eastAsia="Times New Roman" w:hAnsiTheme="majorHAnsi" w:cstheme="majorHAnsi"/>
          <w:color w:val="333333"/>
          <w:lang w:eastAsia="nb-NO"/>
        </w:rPr>
        <w:t>,</w:t>
      </w:r>
      <w:r w:rsidR="007C4CDC">
        <w:rPr>
          <w:rFonts w:asciiTheme="majorHAnsi" w:eastAsia="Times New Roman" w:hAnsiTheme="majorHAnsi" w:cstheme="majorHAnsi"/>
          <w:color w:val="333333"/>
          <w:lang w:eastAsia="nb-NO"/>
        </w:rPr>
        <w:t xml:space="preserve"> som er av en mer konkret karakter</w:t>
      </w:r>
      <w:r w:rsidR="00E8222D">
        <w:rPr>
          <w:rFonts w:asciiTheme="majorHAnsi" w:eastAsia="Times New Roman" w:hAnsiTheme="majorHAnsi" w:cstheme="majorHAnsi"/>
          <w:color w:val="333333"/>
          <w:lang w:eastAsia="nb-NO"/>
        </w:rPr>
        <w:t xml:space="preserve">, </w:t>
      </w:r>
      <w:r w:rsidR="00673BFE">
        <w:rPr>
          <w:rFonts w:asciiTheme="majorHAnsi" w:eastAsia="Times New Roman" w:hAnsiTheme="majorHAnsi" w:cstheme="majorHAnsi"/>
          <w:color w:val="333333"/>
          <w:lang w:eastAsia="nb-NO"/>
        </w:rPr>
        <w:t xml:space="preserve">og </w:t>
      </w:r>
      <w:r w:rsidR="00BC53CA">
        <w:rPr>
          <w:rFonts w:asciiTheme="majorHAnsi" w:eastAsia="Times New Roman" w:hAnsiTheme="majorHAnsi" w:cstheme="majorHAnsi"/>
          <w:color w:val="333333"/>
          <w:lang w:eastAsia="nb-NO"/>
        </w:rPr>
        <w:t xml:space="preserve">det </w:t>
      </w:r>
      <w:r w:rsidR="00673BFE">
        <w:rPr>
          <w:rFonts w:asciiTheme="majorHAnsi" w:eastAsia="Times New Roman" w:hAnsiTheme="majorHAnsi" w:cstheme="majorHAnsi"/>
          <w:color w:val="333333"/>
          <w:lang w:eastAsia="nb-NO"/>
        </w:rPr>
        <w:t xml:space="preserve">er derfor </w:t>
      </w:r>
      <w:r w:rsidR="00BC53CA">
        <w:rPr>
          <w:rFonts w:asciiTheme="majorHAnsi" w:eastAsia="Times New Roman" w:hAnsiTheme="majorHAnsi" w:cstheme="majorHAnsi"/>
          <w:color w:val="333333"/>
          <w:lang w:eastAsia="nb-NO"/>
        </w:rPr>
        <w:t>mer naturlig å begynne med det m</w:t>
      </w:r>
      <w:r w:rsidR="0034466B">
        <w:rPr>
          <w:rFonts w:asciiTheme="majorHAnsi" w:eastAsia="Times New Roman" w:hAnsiTheme="majorHAnsi" w:cstheme="majorHAnsi"/>
          <w:color w:val="333333"/>
          <w:lang w:eastAsia="nb-NO"/>
        </w:rPr>
        <w:t>est heldekkende begrepet</w:t>
      </w:r>
      <w:r w:rsidR="007C4CDC">
        <w:rPr>
          <w:rFonts w:asciiTheme="majorHAnsi" w:eastAsia="Times New Roman" w:hAnsiTheme="majorHAnsi" w:cstheme="majorHAnsi"/>
          <w:color w:val="333333"/>
          <w:lang w:eastAsia="nb-NO"/>
        </w:rPr>
        <w:t xml:space="preserve">. </w:t>
      </w:r>
    </w:p>
    <w:p w14:paraId="4339363B" w14:textId="77777777" w:rsidR="003F6117" w:rsidRPr="00C405F9" w:rsidRDefault="003F6117" w:rsidP="003F6117">
      <w:pPr>
        <w:pStyle w:val="Overskrift1"/>
        <w:numPr>
          <w:ilvl w:val="1"/>
          <w:numId w:val="2"/>
        </w:numPr>
        <w:rPr>
          <w:rFonts w:eastAsia="Times New Roman" w:cstheme="majorHAnsi"/>
          <w:sz w:val="22"/>
          <w:szCs w:val="22"/>
          <w:lang w:eastAsia="nb-NO"/>
        </w:rPr>
      </w:pPr>
      <w:bookmarkStart w:id="9" w:name="_Toc9835496"/>
      <w:r>
        <w:rPr>
          <w:rFonts w:eastAsia="Times New Roman" w:cstheme="majorHAnsi"/>
          <w:sz w:val="22"/>
          <w:szCs w:val="22"/>
          <w:lang w:eastAsia="nb-NO"/>
        </w:rPr>
        <w:t>Forskriftshjemmel</w:t>
      </w:r>
      <w:bookmarkEnd w:id="9"/>
    </w:p>
    <w:p w14:paraId="04E25053" w14:textId="77777777" w:rsidR="003F6117" w:rsidRPr="00AE2E27" w:rsidRDefault="003F6117" w:rsidP="003F6117">
      <w:pPr>
        <w:spacing w:after="0" w:line="330" w:lineRule="atLeast"/>
        <w:textAlignment w:val="center"/>
        <w:rPr>
          <w:rFonts w:asciiTheme="majorHAnsi" w:eastAsia="Times New Roman" w:hAnsiTheme="majorHAnsi" w:cstheme="majorHAnsi"/>
          <w:b/>
          <w:color w:val="333333"/>
          <w:lang w:eastAsia="nb-NO"/>
        </w:rPr>
      </w:pPr>
      <w:r w:rsidRPr="00AE2E27">
        <w:rPr>
          <w:rFonts w:asciiTheme="majorHAnsi" w:eastAsia="Times New Roman" w:hAnsiTheme="majorHAnsi" w:cstheme="majorHAnsi"/>
          <w:b/>
          <w:color w:val="333333"/>
          <w:lang w:eastAsia="nb-NO"/>
        </w:rPr>
        <w:t>Gjeldende rett</w:t>
      </w:r>
    </w:p>
    <w:p w14:paraId="7930404A" w14:textId="77777777" w:rsidR="003F6117" w:rsidRDefault="003F6117" w:rsidP="003F6117">
      <w:pPr>
        <w:spacing w:after="0" w:line="330" w:lineRule="atLeast"/>
        <w:textAlignment w:val="center"/>
        <w:rPr>
          <w:rFonts w:asciiTheme="majorHAnsi" w:eastAsia="Times New Roman" w:hAnsiTheme="majorHAnsi" w:cstheme="majorHAnsi"/>
          <w:color w:val="333333"/>
          <w:lang w:eastAsia="nb-NO"/>
        </w:rPr>
      </w:pPr>
      <w:r w:rsidRPr="00C405F9">
        <w:rPr>
          <w:rFonts w:asciiTheme="majorHAnsi" w:eastAsia="Times New Roman" w:hAnsiTheme="majorHAnsi" w:cstheme="majorHAnsi"/>
          <w:color w:val="333333"/>
          <w:lang w:eastAsia="nb-NO"/>
        </w:rPr>
        <w:t>Bestemmelsens sjette ledd hjemler en adgang</w:t>
      </w:r>
      <w:r>
        <w:rPr>
          <w:rFonts w:asciiTheme="majorHAnsi" w:eastAsia="Times New Roman" w:hAnsiTheme="majorHAnsi" w:cstheme="majorHAnsi"/>
          <w:color w:val="333333"/>
          <w:lang w:eastAsia="nb-NO"/>
        </w:rPr>
        <w:t>, jf. «kan»,</w:t>
      </w:r>
      <w:r w:rsidRPr="00C405F9">
        <w:rPr>
          <w:rFonts w:asciiTheme="majorHAnsi" w:eastAsia="Times New Roman" w:hAnsiTheme="majorHAnsi" w:cstheme="majorHAnsi"/>
          <w:color w:val="333333"/>
          <w:lang w:eastAsia="nb-NO"/>
        </w:rPr>
        <w:t xml:space="preserve"> for departementet til å gi forskrift om «</w:t>
      </w:r>
      <w:r w:rsidRPr="00C405F9">
        <w:rPr>
          <w:rFonts w:asciiTheme="majorHAnsi" w:eastAsia="Times New Roman" w:hAnsiTheme="majorHAnsi" w:cstheme="majorHAnsi"/>
          <w:i/>
          <w:color w:val="333333"/>
          <w:lang w:eastAsia="nb-NO"/>
        </w:rPr>
        <w:t>krav til kvalitetssikringssystemer og kvalitetsarbeid</w:t>
      </w:r>
      <w:r w:rsidRPr="00C405F9">
        <w:rPr>
          <w:rFonts w:asciiTheme="majorHAnsi" w:eastAsia="Times New Roman" w:hAnsiTheme="majorHAnsi" w:cstheme="majorHAnsi"/>
          <w:color w:val="333333"/>
          <w:lang w:eastAsia="nb-NO"/>
        </w:rPr>
        <w:t>», «</w:t>
      </w:r>
      <w:r w:rsidRPr="00C405F9">
        <w:rPr>
          <w:rFonts w:asciiTheme="majorHAnsi" w:eastAsia="Times New Roman" w:hAnsiTheme="majorHAnsi" w:cstheme="majorHAnsi"/>
          <w:i/>
          <w:color w:val="333333"/>
          <w:lang w:eastAsia="nb-NO"/>
        </w:rPr>
        <w:t>standarder og kriterier for akkreditering av institusjoner og studietilbud</w:t>
      </w:r>
      <w:r w:rsidRPr="00C405F9">
        <w:rPr>
          <w:rFonts w:asciiTheme="majorHAnsi" w:eastAsia="Times New Roman" w:hAnsiTheme="majorHAnsi" w:cstheme="majorHAnsi"/>
          <w:color w:val="333333"/>
          <w:lang w:eastAsia="nb-NO"/>
        </w:rPr>
        <w:t>» og «</w:t>
      </w:r>
      <w:r w:rsidRPr="00C405F9">
        <w:rPr>
          <w:rFonts w:asciiTheme="majorHAnsi" w:eastAsia="Times New Roman" w:hAnsiTheme="majorHAnsi" w:cstheme="majorHAnsi"/>
          <w:i/>
          <w:color w:val="333333"/>
          <w:lang w:eastAsia="nb-NO"/>
        </w:rPr>
        <w:t>saksbehandlingsregler for NOKUTs virksomhet</w:t>
      </w:r>
      <w:r w:rsidRPr="00C405F9">
        <w:rPr>
          <w:rFonts w:asciiTheme="majorHAnsi" w:eastAsia="Times New Roman" w:hAnsiTheme="majorHAnsi" w:cstheme="majorHAnsi"/>
          <w:color w:val="333333"/>
          <w:lang w:eastAsia="nb-NO"/>
        </w:rPr>
        <w:t>». I tillegg kan NOKUT gi «</w:t>
      </w:r>
      <w:r w:rsidRPr="00C405F9">
        <w:rPr>
          <w:rFonts w:asciiTheme="majorHAnsi" w:eastAsia="Times New Roman" w:hAnsiTheme="majorHAnsi" w:cstheme="majorHAnsi"/>
          <w:i/>
          <w:color w:val="333333"/>
          <w:lang w:eastAsia="nb-NO"/>
        </w:rPr>
        <w:t>utfyllende forskrift</w:t>
      </w:r>
      <w:r w:rsidRPr="00C405F9">
        <w:rPr>
          <w:rFonts w:asciiTheme="majorHAnsi" w:eastAsia="Times New Roman" w:hAnsiTheme="majorHAnsi" w:cstheme="majorHAnsi"/>
          <w:color w:val="333333"/>
          <w:lang w:eastAsia="nb-NO"/>
        </w:rPr>
        <w:t xml:space="preserve">» om de samme emnene. </w:t>
      </w:r>
    </w:p>
    <w:p w14:paraId="4B1F434E" w14:textId="77777777" w:rsidR="003F6117" w:rsidRDefault="003F6117" w:rsidP="003F6117">
      <w:pPr>
        <w:spacing w:after="0" w:line="330" w:lineRule="atLeast"/>
        <w:textAlignment w:val="center"/>
        <w:rPr>
          <w:rFonts w:asciiTheme="majorHAnsi" w:eastAsia="Times New Roman" w:hAnsiTheme="majorHAnsi" w:cstheme="majorHAnsi"/>
          <w:color w:val="333333"/>
          <w:lang w:eastAsia="nb-NO"/>
        </w:rPr>
      </w:pPr>
    </w:p>
    <w:p w14:paraId="0965DAE2" w14:textId="77777777" w:rsidR="003F6117" w:rsidRDefault="003F6117" w:rsidP="003F6117">
      <w:pPr>
        <w:spacing w:after="0" w:line="330" w:lineRule="atLeast"/>
        <w:textAlignment w:val="center"/>
        <w:rPr>
          <w:rFonts w:asciiTheme="majorHAnsi" w:eastAsia="Times New Roman" w:hAnsiTheme="majorHAnsi" w:cstheme="majorHAnsi"/>
          <w:color w:val="333333"/>
          <w:lang w:eastAsia="nb-NO"/>
        </w:rPr>
      </w:pPr>
      <w:r>
        <w:rPr>
          <w:rFonts w:asciiTheme="majorHAnsi" w:eastAsia="Times New Roman" w:hAnsiTheme="majorHAnsi" w:cstheme="majorHAnsi"/>
          <w:color w:val="333333"/>
          <w:lang w:eastAsia="nb-NO"/>
        </w:rPr>
        <w:t>I forbindelse med innføringen av bestemmelsen ble det uttalt i forarbeidene at «</w:t>
      </w:r>
      <w:r w:rsidRPr="000D1FEF">
        <w:rPr>
          <w:rFonts w:asciiTheme="majorHAnsi" w:eastAsia="Times New Roman" w:hAnsiTheme="majorHAnsi" w:cstheme="majorHAnsi"/>
          <w:i/>
          <w:color w:val="333333"/>
          <w:lang w:eastAsia="nb-NO"/>
        </w:rPr>
        <w:t>Bestemmelsen innebærer at departementets myndighet til å gi forskrifter om kvalitetssikringssystemer, kvalitetsarbeid, standarder og kriterier for akkreditering, herunder revidering av akkreditering, av institusjoner og studietilbud, og om saksbehandlingsregler for NOKUTs virksomhet er samlet i én bestemmelse. Tilsvarende innebærer bestemmelsen at NOKUTs myndighet til å gi utfyllende forskrift til forskriftene departementet fastsetter, nå hjemles i lov</w:t>
      </w:r>
      <w:r>
        <w:rPr>
          <w:rFonts w:asciiTheme="majorHAnsi" w:eastAsia="Times New Roman" w:hAnsiTheme="majorHAnsi" w:cstheme="majorHAnsi"/>
          <w:color w:val="333333"/>
          <w:lang w:eastAsia="nb-NO"/>
        </w:rPr>
        <w:t xml:space="preserve">», jf. Prop.81 L (2015-2016). </w:t>
      </w:r>
    </w:p>
    <w:p w14:paraId="238AD7E3" w14:textId="77777777" w:rsidR="003F6117" w:rsidRPr="00C405F9" w:rsidRDefault="003F6117" w:rsidP="003F6117">
      <w:pPr>
        <w:spacing w:after="0" w:line="330" w:lineRule="atLeast"/>
        <w:textAlignment w:val="center"/>
        <w:rPr>
          <w:rFonts w:asciiTheme="majorHAnsi" w:eastAsia="Times New Roman" w:hAnsiTheme="majorHAnsi" w:cstheme="majorHAnsi"/>
          <w:color w:val="333333"/>
          <w:lang w:eastAsia="nb-NO"/>
        </w:rPr>
      </w:pPr>
    </w:p>
    <w:p w14:paraId="2088D364" w14:textId="77777777" w:rsidR="003F6117" w:rsidRPr="00AE2E27" w:rsidRDefault="003F6117" w:rsidP="003F6117">
      <w:pPr>
        <w:spacing w:after="0" w:line="330" w:lineRule="atLeast"/>
        <w:textAlignment w:val="center"/>
        <w:rPr>
          <w:rFonts w:asciiTheme="majorHAnsi" w:eastAsia="Times New Roman" w:hAnsiTheme="majorHAnsi" w:cstheme="majorHAnsi"/>
          <w:b/>
          <w:color w:val="333333"/>
          <w:lang w:eastAsia="nb-NO"/>
        </w:rPr>
      </w:pPr>
      <w:r w:rsidRPr="00AE2E27">
        <w:rPr>
          <w:rFonts w:asciiTheme="majorHAnsi" w:eastAsia="Times New Roman" w:hAnsiTheme="majorHAnsi" w:cstheme="majorHAnsi"/>
          <w:b/>
          <w:color w:val="333333"/>
          <w:lang w:eastAsia="nb-NO"/>
        </w:rPr>
        <w:t>NOKUTs vurdering og forslag</w:t>
      </w:r>
    </w:p>
    <w:p w14:paraId="3C227872" w14:textId="77777777" w:rsidR="003F6117" w:rsidRDefault="003F6117" w:rsidP="003F6117">
      <w:pPr>
        <w:spacing w:after="0" w:line="330" w:lineRule="atLeast"/>
        <w:textAlignment w:val="center"/>
        <w:rPr>
          <w:rFonts w:asciiTheme="majorHAnsi" w:eastAsia="Times New Roman" w:hAnsiTheme="majorHAnsi" w:cstheme="majorHAnsi"/>
          <w:color w:val="333333"/>
          <w:lang w:eastAsia="nb-NO"/>
        </w:rPr>
      </w:pPr>
      <w:r>
        <w:rPr>
          <w:rFonts w:asciiTheme="majorHAnsi" w:eastAsia="Times New Roman" w:hAnsiTheme="majorHAnsi" w:cstheme="majorHAnsi"/>
          <w:color w:val="333333"/>
          <w:lang w:eastAsia="nb-NO"/>
        </w:rPr>
        <w:t xml:space="preserve">Ettersom bestemmelsens sjette ledd er en forskriftshjemmel er det sentrale </w:t>
      </w:r>
      <w:r w:rsidRPr="00C405F9">
        <w:rPr>
          <w:rFonts w:asciiTheme="majorHAnsi" w:eastAsia="Times New Roman" w:hAnsiTheme="majorHAnsi" w:cstheme="majorHAnsi"/>
          <w:color w:val="333333"/>
          <w:lang w:eastAsia="nb-NO"/>
        </w:rPr>
        <w:t>å få klart f</w:t>
      </w:r>
      <w:r>
        <w:rPr>
          <w:rFonts w:asciiTheme="majorHAnsi" w:eastAsia="Times New Roman" w:hAnsiTheme="majorHAnsi" w:cstheme="majorHAnsi"/>
          <w:color w:val="333333"/>
          <w:lang w:eastAsia="nb-NO"/>
        </w:rPr>
        <w:t xml:space="preserve">rem </w:t>
      </w:r>
      <w:r w:rsidRPr="00C64259">
        <w:rPr>
          <w:rFonts w:asciiTheme="majorHAnsi" w:eastAsia="Times New Roman" w:hAnsiTheme="majorHAnsi" w:cstheme="majorHAnsi"/>
          <w:i/>
          <w:color w:val="333333"/>
          <w:lang w:eastAsia="nb-NO"/>
        </w:rPr>
        <w:t>hva</w:t>
      </w:r>
      <w:r>
        <w:rPr>
          <w:rFonts w:asciiTheme="majorHAnsi" w:eastAsia="Times New Roman" w:hAnsiTheme="majorHAnsi" w:cstheme="majorHAnsi"/>
          <w:color w:val="333333"/>
          <w:lang w:eastAsia="nb-NO"/>
        </w:rPr>
        <w:t xml:space="preserve"> hjemmelen skal omfatte og </w:t>
      </w:r>
      <w:r w:rsidRPr="00C64259">
        <w:rPr>
          <w:rFonts w:asciiTheme="majorHAnsi" w:eastAsia="Times New Roman" w:hAnsiTheme="majorHAnsi" w:cstheme="majorHAnsi"/>
          <w:i/>
          <w:color w:val="333333"/>
          <w:lang w:eastAsia="nb-NO"/>
        </w:rPr>
        <w:t>til hvem</w:t>
      </w:r>
      <w:r>
        <w:rPr>
          <w:rFonts w:asciiTheme="majorHAnsi" w:eastAsia="Times New Roman" w:hAnsiTheme="majorHAnsi" w:cstheme="majorHAnsi"/>
          <w:color w:val="333333"/>
          <w:lang w:eastAsia="nb-NO"/>
        </w:rPr>
        <w:t xml:space="preserve"> den er rettet. </w:t>
      </w:r>
    </w:p>
    <w:p w14:paraId="11739472" w14:textId="77777777" w:rsidR="003F6117" w:rsidRDefault="003F6117" w:rsidP="003F6117">
      <w:pPr>
        <w:spacing w:after="0" w:line="330" w:lineRule="atLeast"/>
        <w:textAlignment w:val="center"/>
        <w:rPr>
          <w:rFonts w:asciiTheme="majorHAnsi" w:eastAsia="Times New Roman" w:hAnsiTheme="majorHAnsi" w:cstheme="majorHAnsi"/>
          <w:color w:val="333333"/>
          <w:lang w:eastAsia="nb-NO"/>
        </w:rPr>
      </w:pPr>
    </w:p>
    <w:p w14:paraId="1A128387" w14:textId="77777777" w:rsidR="003F6117" w:rsidRPr="00FD19CB" w:rsidRDefault="003F6117" w:rsidP="003F6117">
      <w:pPr>
        <w:spacing w:after="0" w:line="330" w:lineRule="atLeast"/>
        <w:textAlignment w:val="center"/>
        <w:rPr>
          <w:rFonts w:asciiTheme="majorHAnsi" w:eastAsia="Times New Roman" w:hAnsiTheme="majorHAnsi" w:cstheme="majorHAnsi"/>
          <w:b/>
          <w:color w:val="333333"/>
          <w:lang w:eastAsia="nb-NO"/>
        </w:rPr>
      </w:pPr>
      <w:r>
        <w:rPr>
          <w:rFonts w:asciiTheme="majorHAnsi" w:eastAsia="Times New Roman" w:hAnsiTheme="majorHAnsi" w:cstheme="majorHAnsi"/>
          <w:b/>
          <w:color w:val="333333"/>
          <w:lang w:eastAsia="nb-NO"/>
        </w:rPr>
        <w:t>Forskriftshjemmel – det saklig området</w:t>
      </w:r>
    </w:p>
    <w:p w14:paraId="534C88AA" w14:textId="104BE148" w:rsidR="003F6117" w:rsidRDefault="003F6117" w:rsidP="003F6117">
      <w:pPr>
        <w:spacing w:after="0" w:line="330" w:lineRule="atLeast"/>
        <w:textAlignment w:val="center"/>
        <w:rPr>
          <w:rFonts w:asciiTheme="majorHAnsi" w:eastAsia="Times New Roman" w:hAnsiTheme="majorHAnsi" w:cstheme="majorHAnsi"/>
          <w:color w:val="333333"/>
          <w:lang w:eastAsia="nb-NO"/>
        </w:rPr>
      </w:pPr>
      <w:r>
        <w:rPr>
          <w:rFonts w:asciiTheme="majorHAnsi" w:eastAsia="Times New Roman" w:hAnsiTheme="majorHAnsi" w:cstheme="majorHAnsi"/>
          <w:color w:val="333333"/>
          <w:lang w:eastAsia="nb-NO"/>
        </w:rPr>
        <w:t>Et hovedpoeng for h</w:t>
      </w:r>
      <w:r w:rsidRPr="00C405F9">
        <w:rPr>
          <w:rFonts w:asciiTheme="majorHAnsi" w:eastAsia="Times New Roman" w:hAnsiTheme="majorHAnsi" w:cstheme="majorHAnsi"/>
          <w:color w:val="333333"/>
          <w:lang w:eastAsia="nb-NO"/>
        </w:rPr>
        <w:t>vilket saklig område f</w:t>
      </w:r>
      <w:r>
        <w:rPr>
          <w:rFonts w:asciiTheme="majorHAnsi" w:eastAsia="Times New Roman" w:hAnsiTheme="majorHAnsi" w:cstheme="majorHAnsi"/>
          <w:color w:val="333333"/>
          <w:lang w:eastAsia="nb-NO"/>
        </w:rPr>
        <w:t>ors</w:t>
      </w:r>
      <w:r w:rsidR="00355823">
        <w:rPr>
          <w:rFonts w:asciiTheme="majorHAnsi" w:eastAsia="Times New Roman" w:hAnsiTheme="majorHAnsi" w:cstheme="majorHAnsi"/>
          <w:color w:val="333333"/>
          <w:lang w:eastAsia="nb-NO"/>
        </w:rPr>
        <w:t xml:space="preserve">kriftshjemmelen skal gjelde for, </w:t>
      </w:r>
      <w:r>
        <w:rPr>
          <w:rFonts w:asciiTheme="majorHAnsi" w:eastAsia="Times New Roman" w:hAnsiTheme="majorHAnsi" w:cstheme="majorHAnsi"/>
          <w:color w:val="333333"/>
          <w:lang w:eastAsia="nb-NO"/>
        </w:rPr>
        <w:t xml:space="preserve">er å </w:t>
      </w:r>
      <w:r w:rsidRPr="00C405F9">
        <w:rPr>
          <w:rFonts w:asciiTheme="majorHAnsi" w:eastAsia="Times New Roman" w:hAnsiTheme="majorHAnsi" w:cstheme="majorHAnsi"/>
          <w:color w:val="333333"/>
          <w:lang w:eastAsia="nb-NO"/>
        </w:rPr>
        <w:t>skape sikkerhet for at Stortinget ønske</w:t>
      </w:r>
      <w:r>
        <w:rPr>
          <w:rFonts w:asciiTheme="majorHAnsi" w:eastAsia="Times New Roman" w:hAnsiTheme="majorHAnsi" w:cstheme="majorHAnsi"/>
          <w:color w:val="333333"/>
          <w:lang w:eastAsia="nb-NO"/>
        </w:rPr>
        <w:t>t delegering i et slikt omfang og for å s</w:t>
      </w:r>
      <w:r w:rsidRPr="00C405F9">
        <w:rPr>
          <w:rFonts w:asciiTheme="majorHAnsi" w:eastAsia="Times New Roman" w:hAnsiTheme="majorHAnsi" w:cstheme="majorHAnsi"/>
          <w:color w:val="333333"/>
          <w:lang w:eastAsia="nb-NO"/>
        </w:rPr>
        <w:t>ikre forutberegnelighet</w:t>
      </w:r>
      <w:r>
        <w:rPr>
          <w:rFonts w:asciiTheme="majorHAnsi" w:eastAsia="Times New Roman" w:hAnsiTheme="majorHAnsi" w:cstheme="majorHAnsi"/>
          <w:color w:val="333333"/>
          <w:lang w:eastAsia="nb-NO"/>
        </w:rPr>
        <w:t>.</w:t>
      </w:r>
      <w:r w:rsidRPr="0076787F">
        <w:rPr>
          <w:rFonts w:asciiTheme="majorHAnsi" w:eastAsia="Times New Roman" w:hAnsiTheme="majorHAnsi" w:cstheme="majorHAnsi"/>
          <w:color w:val="333333"/>
          <w:lang w:eastAsia="nb-NO"/>
        </w:rPr>
        <w:t xml:space="preserve"> </w:t>
      </w:r>
      <w:r>
        <w:rPr>
          <w:rFonts w:asciiTheme="majorHAnsi" w:eastAsia="Times New Roman" w:hAnsiTheme="majorHAnsi" w:cstheme="majorHAnsi"/>
          <w:color w:val="333333"/>
          <w:lang w:eastAsia="nb-NO"/>
        </w:rPr>
        <w:t>Det er derfor nødvendig å vurdere behovet for forskriftens innhold konkret og angi hva som ønskes regulert så presist som mulig. Et sentralt spørsmål vil i den forbindelse være hvorvidt det skal gis é</w:t>
      </w:r>
      <w:r w:rsidRPr="00CE1400">
        <w:rPr>
          <w:rFonts w:asciiTheme="majorHAnsi" w:eastAsia="Times New Roman" w:hAnsiTheme="majorHAnsi" w:cstheme="majorHAnsi"/>
          <w:color w:val="333333"/>
          <w:lang w:eastAsia="nb-NO"/>
        </w:rPr>
        <w:t>n vi</w:t>
      </w:r>
      <w:r>
        <w:rPr>
          <w:rFonts w:asciiTheme="majorHAnsi" w:eastAsia="Times New Roman" w:hAnsiTheme="majorHAnsi" w:cstheme="majorHAnsi"/>
          <w:color w:val="333333"/>
          <w:lang w:eastAsia="nb-NO"/>
        </w:rPr>
        <w:t>d hjemmel eller flere snevre. Både</w:t>
      </w:r>
      <w:r w:rsidRPr="004B08C5">
        <w:rPr>
          <w:rFonts w:asciiTheme="majorHAnsi" w:eastAsia="Times New Roman" w:hAnsiTheme="majorHAnsi" w:cstheme="majorHAnsi"/>
          <w:color w:val="333333"/>
          <w:lang w:eastAsia="nb-NO"/>
        </w:rPr>
        <w:t xml:space="preserve"> </w:t>
      </w:r>
      <w:r>
        <w:rPr>
          <w:rFonts w:asciiTheme="majorHAnsi" w:eastAsia="Times New Roman" w:hAnsiTheme="majorHAnsi" w:cstheme="majorHAnsi"/>
          <w:color w:val="333333"/>
          <w:lang w:eastAsia="nb-NO"/>
        </w:rPr>
        <w:t xml:space="preserve">generalklausuler </w:t>
      </w:r>
      <w:r w:rsidRPr="00FF2C24">
        <w:rPr>
          <w:rFonts w:asciiTheme="majorHAnsi" w:eastAsia="Times New Roman" w:hAnsiTheme="majorHAnsi" w:cstheme="majorHAnsi"/>
          <w:color w:val="333333"/>
          <w:lang w:eastAsia="nb-NO"/>
        </w:rPr>
        <w:t>til utfylling og gjennomføring</w:t>
      </w:r>
      <w:r w:rsidR="00355823">
        <w:rPr>
          <w:rFonts w:asciiTheme="majorHAnsi" w:eastAsia="Times New Roman" w:hAnsiTheme="majorHAnsi" w:cstheme="majorHAnsi"/>
          <w:color w:val="333333"/>
          <w:lang w:eastAsia="nb-NO"/>
        </w:rPr>
        <w:t xml:space="preserve"> og </w:t>
      </w:r>
      <w:r w:rsidR="0096731B">
        <w:rPr>
          <w:rFonts w:asciiTheme="majorHAnsi" w:eastAsia="Times New Roman" w:hAnsiTheme="majorHAnsi" w:cstheme="majorHAnsi"/>
          <w:color w:val="333333"/>
          <w:lang w:eastAsia="nb-NO"/>
        </w:rPr>
        <w:t>tallrike særskilte</w:t>
      </w:r>
      <w:r w:rsidR="00C0599A">
        <w:rPr>
          <w:rFonts w:asciiTheme="majorHAnsi" w:eastAsia="Times New Roman" w:hAnsiTheme="majorHAnsi" w:cstheme="majorHAnsi"/>
          <w:color w:val="333333"/>
          <w:lang w:eastAsia="nb-NO"/>
        </w:rPr>
        <w:t xml:space="preserve"> forskriftshjemler</w:t>
      </w:r>
      <w:r w:rsidR="0096731B">
        <w:rPr>
          <w:rFonts w:asciiTheme="majorHAnsi" w:eastAsia="Times New Roman" w:hAnsiTheme="majorHAnsi" w:cstheme="majorHAnsi"/>
          <w:color w:val="333333"/>
          <w:lang w:eastAsia="nb-NO"/>
        </w:rPr>
        <w:t xml:space="preserve"> </w:t>
      </w:r>
      <w:r w:rsidR="00C0599A">
        <w:rPr>
          <w:rFonts w:asciiTheme="majorHAnsi" w:eastAsia="Times New Roman" w:hAnsiTheme="majorHAnsi" w:cstheme="majorHAnsi"/>
          <w:color w:val="333333"/>
          <w:lang w:eastAsia="nb-NO"/>
        </w:rPr>
        <w:t xml:space="preserve">bør unngås. </w:t>
      </w:r>
      <w:r>
        <w:rPr>
          <w:rFonts w:asciiTheme="majorHAnsi" w:eastAsia="Times New Roman" w:hAnsiTheme="majorHAnsi" w:cstheme="majorHAnsi"/>
          <w:color w:val="333333"/>
          <w:lang w:eastAsia="nb-NO"/>
        </w:rPr>
        <w:t>Et tilgrensende spørsmål er da også</w:t>
      </w:r>
      <w:r w:rsidR="00C0599A">
        <w:rPr>
          <w:rFonts w:asciiTheme="majorHAnsi" w:eastAsia="Times New Roman" w:hAnsiTheme="majorHAnsi" w:cstheme="majorHAnsi"/>
          <w:color w:val="333333"/>
          <w:lang w:eastAsia="nb-NO"/>
        </w:rPr>
        <w:t xml:space="preserve"> hvor hjemlene skal plasseres</w:t>
      </w:r>
      <w:r>
        <w:rPr>
          <w:rFonts w:asciiTheme="majorHAnsi" w:eastAsia="Times New Roman" w:hAnsiTheme="majorHAnsi" w:cstheme="majorHAnsi"/>
          <w:color w:val="333333"/>
          <w:lang w:eastAsia="nb-NO"/>
        </w:rPr>
        <w:t xml:space="preserve">. </w:t>
      </w:r>
    </w:p>
    <w:p w14:paraId="3A23CB8F" w14:textId="77777777" w:rsidR="003F6117" w:rsidRDefault="003F6117" w:rsidP="003F6117">
      <w:pPr>
        <w:spacing w:after="0" w:line="330" w:lineRule="atLeast"/>
        <w:textAlignment w:val="center"/>
        <w:rPr>
          <w:rFonts w:asciiTheme="majorHAnsi" w:eastAsia="Times New Roman" w:hAnsiTheme="majorHAnsi" w:cstheme="majorHAnsi"/>
          <w:color w:val="333333"/>
          <w:lang w:eastAsia="nb-NO"/>
        </w:rPr>
      </w:pPr>
    </w:p>
    <w:p w14:paraId="0A44F2B6" w14:textId="3EF205CE" w:rsidR="003F6117" w:rsidRDefault="003F6117" w:rsidP="003F6117">
      <w:pPr>
        <w:spacing w:after="0" w:line="330" w:lineRule="atLeast"/>
        <w:textAlignment w:val="center"/>
        <w:rPr>
          <w:rFonts w:asciiTheme="majorHAnsi" w:eastAsia="Times New Roman" w:hAnsiTheme="majorHAnsi" w:cstheme="majorHAnsi"/>
          <w:color w:val="333333"/>
          <w:lang w:eastAsia="nb-NO"/>
        </w:rPr>
      </w:pPr>
      <w:r>
        <w:rPr>
          <w:rFonts w:asciiTheme="majorHAnsi" w:eastAsia="Times New Roman" w:hAnsiTheme="majorHAnsi" w:cstheme="majorHAnsi"/>
          <w:color w:val="333333"/>
          <w:lang w:eastAsia="nb-NO"/>
        </w:rPr>
        <w:t xml:space="preserve">Slik uhl. § 2-1 sjette ledd lyder i dag er det saklige område for forskriftshjemmelen sentrert rundt tre temaer i henholdsvis bokstav a, b og c. Bestemmelsen må antakelig tolkes dithen at </w:t>
      </w:r>
      <w:r w:rsidR="00D53CA6">
        <w:rPr>
          <w:rFonts w:asciiTheme="majorHAnsi" w:eastAsia="Times New Roman" w:hAnsiTheme="majorHAnsi" w:cstheme="majorHAnsi"/>
          <w:color w:val="333333"/>
          <w:lang w:eastAsia="nb-NO"/>
        </w:rPr>
        <w:t>forskrift</w:t>
      </w:r>
      <w:r w:rsidRPr="00DC0C32">
        <w:rPr>
          <w:rFonts w:asciiTheme="majorHAnsi" w:eastAsia="Times New Roman" w:hAnsiTheme="majorHAnsi" w:cstheme="majorHAnsi"/>
          <w:color w:val="333333"/>
          <w:lang w:eastAsia="nb-NO"/>
        </w:rPr>
        <w:t xml:space="preserve"> </w:t>
      </w:r>
      <w:r>
        <w:rPr>
          <w:rFonts w:asciiTheme="majorHAnsi" w:eastAsia="Times New Roman" w:hAnsiTheme="majorHAnsi" w:cstheme="majorHAnsi"/>
          <w:color w:val="333333"/>
          <w:lang w:eastAsia="nb-NO"/>
        </w:rPr>
        <w:t xml:space="preserve">gitt i medhold av loven </w:t>
      </w:r>
      <w:r w:rsidRPr="00DC0C32">
        <w:rPr>
          <w:rFonts w:asciiTheme="majorHAnsi" w:eastAsia="Times New Roman" w:hAnsiTheme="majorHAnsi" w:cstheme="majorHAnsi"/>
          <w:color w:val="333333"/>
          <w:lang w:eastAsia="nb-NO"/>
        </w:rPr>
        <w:t>skal kunne inneholde en mer selvstendig regulering på områder som ikk</w:t>
      </w:r>
      <w:r>
        <w:rPr>
          <w:rFonts w:asciiTheme="majorHAnsi" w:eastAsia="Times New Roman" w:hAnsiTheme="majorHAnsi" w:cstheme="majorHAnsi"/>
          <w:color w:val="333333"/>
          <w:lang w:eastAsia="nb-NO"/>
        </w:rPr>
        <w:t>e er fullt ut regulert i loven.</w:t>
      </w:r>
    </w:p>
    <w:p w14:paraId="121FE7B8" w14:textId="77777777" w:rsidR="003F6117" w:rsidRDefault="003F6117" w:rsidP="003F6117">
      <w:pPr>
        <w:spacing w:after="0" w:line="330" w:lineRule="atLeast"/>
        <w:textAlignment w:val="center"/>
        <w:rPr>
          <w:rFonts w:asciiTheme="majorHAnsi" w:eastAsia="Times New Roman" w:hAnsiTheme="majorHAnsi" w:cstheme="majorHAnsi"/>
          <w:color w:val="333333"/>
          <w:lang w:eastAsia="nb-NO"/>
        </w:rPr>
      </w:pPr>
    </w:p>
    <w:p w14:paraId="6D0928C6" w14:textId="1B860F31" w:rsidR="003F6117" w:rsidRDefault="003F6117" w:rsidP="003F6117">
      <w:pPr>
        <w:spacing w:after="0" w:line="330" w:lineRule="atLeast"/>
        <w:textAlignment w:val="center"/>
        <w:rPr>
          <w:rFonts w:asciiTheme="majorHAnsi" w:eastAsia="Times New Roman" w:hAnsiTheme="majorHAnsi" w:cstheme="majorHAnsi"/>
          <w:color w:val="333333"/>
          <w:lang w:eastAsia="nb-NO"/>
        </w:rPr>
      </w:pPr>
      <w:r w:rsidRPr="006A6285">
        <w:rPr>
          <w:rFonts w:asciiTheme="majorHAnsi" w:eastAsia="Times New Roman" w:hAnsiTheme="majorHAnsi" w:cstheme="majorHAnsi"/>
          <w:color w:val="333333"/>
          <w:lang w:eastAsia="nb-NO"/>
        </w:rPr>
        <w:t xml:space="preserve">Når det gjelder </w:t>
      </w:r>
      <w:r>
        <w:rPr>
          <w:rFonts w:asciiTheme="majorHAnsi" w:eastAsia="Times New Roman" w:hAnsiTheme="majorHAnsi" w:cstheme="majorHAnsi"/>
          <w:color w:val="333333"/>
          <w:lang w:eastAsia="nb-NO"/>
        </w:rPr>
        <w:t xml:space="preserve">uhl. § 2- 1 sjette ledd bokstav a og b knytter disse seg til </w:t>
      </w:r>
      <w:r w:rsidRPr="006A6285">
        <w:rPr>
          <w:rFonts w:asciiTheme="majorHAnsi" w:eastAsia="Times New Roman" w:hAnsiTheme="majorHAnsi" w:cstheme="majorHAnsi"/>
          <w:color w:val="333333"/>
          <w:lang w:eastAsia="nb-NO"/>
        </w:rPr>
        <w:t>«</w:t>
      </w:r>
      <w:r w:rsidRPr="006A6285">
        <w:rPr>
          <w:rFonts w:asciiTheme="majorHAnsi" w:eastAsia="Times New Roman" w:hAnsiTheme="majorHAnsi" w:cstheme="majorHAnsi"/>
          <w:i/>
          <w:color w:val="333333"/>
          <w:lang w:eastAsia="nb-NO"/>
        </w:rPr>
        <w:t>krav til kvalitetssikringssystemer og kvalitetsarbeid</w:t>
      </w:r>
      <w:r w:rsidRPr="006A6285">
        <w:rPr>
          <w:rFonts w:asciiTheme="majorHAnsi" w:eastAsia="Times New Roman" w:hAnsiTheme="majorHAnsi" w:cstheme="majorHAnsi"/>
          <w:color w:val="333333"/>
          <w:lang w:eastAsia="nb-NO"/>
        </w:rPr>
        <w:t>» og «</w:t>
      </w:r>
      <w:r w:rsidRPr="006A6285">
        <w:rPr>
          <w:rFonts w:asciiTheme="majorHAnsi" w:eastAsia="Times New Roman" w:hAnsiTheme="majorHAnsi" w:cstheme="majorHAnsi"/>
          <w:i/>
          <w:color w:val="333333"/>
          <w:lang w:eastAsia="nb-NO"/>
        </w:rPr>
        <w:t>standarder og kriterier for akkreditering av institusjoner og studietilbud</w:t>
      </w:r>
      <w:r w:rsidR="0004354E">
        <w:rPr>
          <w:rFonts w:asciiTheme="majorHAnsi" w:eastAsia="Times New Roman" w:hAnsiTheme="majorHAnsi" w:cstheme="majorHAnsi"/>
          <w:color w:val="333333"/>
          <w:lang w:eastAsia="nb-NO"/>
        </w:rPr>
        <w:t xml:space="preserve">». I utgangspunktet </w:t>
      </w:r>
      <w:r>
        <w:rPr>
          <w:rFonts w:asciiTheme="majorHAnsi" w:eastAsia="Times New Roman" w:hAnsiTheme="majorHAnsi" w:cstheme="majorHAnsi"/>
          <w:color w:val="333333"/>
          <w:lang w:eastAsia="nb-NO"/>
        </w:rPr>
        <w:t xml:space="preserve">er det saklige området for disse forskriftshjemlene av en mer snever karakter som relaterer seg til utvalgte av NOKUTs konkrete oppgaver. NOKUT mener derfor det bør vurderes hvorvidt disse med fordel heller kan plasseres der de saklig sett hører </w:t>
      </w:r>
      <w:r>
        <w:rPr>
          <w:rFonts w:asciiTheme="majorHAnsi" w:eastAsia="Times New Roman" w:hAnsiTheme="majorHAnsi" w:cstheme="majorHAnsi"/>
          <w:color w:val="333333"/>
          <w:lang w:eastAsia="nb-NO"/>
        </w:rPr>
        <w:lastRenderedPageBreak/>
        <w:t>hjemme</w:t>
      </w:r>
      <w:r w:rsidR="00DC545F">
        <w:rPr>
          <w:rFonts w:asciiTheme="majorHAnsi" w:eastAsia="Times New Roman" w:hAnsiTheme="majorHAnsi" w:cstheme="majorHAnsi"/>
          <w:color w:val="333333"/>
          <w:lang w:eastAsia="nb-NO"/>
        </w:rPr>
        <w:t>, andre steder i loven</w:t>
      </w:r>
      <w:r>
        <w:rPr>
          <w:rFonts w:asciiTheme="majorHAnsi" w:eastAsia="Times New Roman" w:hAnsiTheme="majorHAnsi" w:cstheme="majorHAnsi"/>
          <w:color w:val="333333"/>
          <w:lang w:eastAsia="nb-NO"/>
        </w:rPr>
        <w:t xml:space="preserve">. NOKUT mener dette også vil være fornuftig ettersom uhl. § 2-1 i utgangspunktet regulerer NOKUTs myndighet og oppgaver i relasjon til både institusjonene etter uhl </w:t>
      </w:r>
      <w:r w:rsidRPr="004931FA">
        <w:rPr>
          <w:rFonts w:asciiTheme="majorHAnsi" w:eastAsia="Times New Roman" w:hAnsiTheme="majorHAnsi" w:cstheme="majorHAnsi"/>
          <w:i/>
          <w:color w:val="333333"/>
          <w:lang w:eastAsia="nb-NO"/>
        </w:rPr>
        <w:t>og</w:t>
      </w:r>
      <w:r>
        <w:rPr>
          <w:rFonts w:asciiTheme="majorHAnsi" w:eastAsia="Times New Roman" w:hAnsiTheme="majorHAnsi" w:cstheme="majorHAnsi"/>
          <w:color w:val="333333"/>
          <w:lang w:eastAsia="nb-NO"/>
        </w:rPr>
        <w:t xml:space="preserve"> fagskoleloven, mens angivelsen av det saklige området for forskriftshjemmelen i bokstav a og b utelukkende knytter seg til forhold rundt institusjoner som er regulert i uhl. </w:t>
      </w:r>
    </w:p>
    <w:p w14:paraId="136E3735" w14:textId="77777777" w:rsidR="003F6117" w:rsidRDefault="003F6117" w:rsidP="003F6117">
      <w:pPr>
        <w:spacing w:after="0" w:line="330" w:lineRule="atLeast"/>
        <w:textAlignment w:val="center"/>
        <w:rPr>
          <w:rFonts w:asciiTheme="majorHAnsi" w:eastAsia="Times New Roman" w:hAnsiTheme="majorHAnsi" w:cstheme="majorHAnsi"/>
          <w:color w:val="333333"/>
          <w:lang w:eastAsia="nb-NO"/>
        </w:rPr>
      </w:pPr>
    </w:p>
    <w:p w14:paraId="0648A8BA" w14:textId="0B90F867" w:rsidR="003F6117" w:rsidRDefault="003F6117" w:rsidP="003F6117">
      <w:pPr>
        <w:spacing w:after="0" w:line="330" w:lineRule="atLeast"/>
        <w:textAlignment w:val="center"/>
        <w:rPr>
          <w:rFonts w:asciiTheme="majorHAnsi" w:eastAsia="Times New Roman" w:hAnsiTheme="majorHAnsi" w:cstheme="majorHAnsi"/>
          <w:color w:val="333333"/>
          <w:lang w:eastAsia="nb-NO"/>
        </w:rPr>
      </w:pPr>
      <w:r>
        <w:rPr>
          <w:rFonts w:asciiTheme="majorHAnsi" w:eastAsia="Times New Roman" w:hAnsiTheme="majorHAnsi" w:cstheme="majorHAnsi"/>
          <w:color w:val="333333"/>
          <w:lang w:eastAsia="nb-NO"/>
        </w:rPr>
        <w:t>Hva angår formuleringen i uhl. § 2-1 sjette ledd bokstav c er denne mer generell i sin utforming enn bokstav a og b, jf. «</w:t>
      </w:r>
      <w:r w:rsidRPr="002675A7">
        <w:rPr>
          <w:rFonts w:asciiTheme="majorHAnsi" w:eastAsia="Times New Roman" w:hAnsiTheme="majorHAnsi" w:cstheme="majorHAnsi"/>
          <w:i/>
          <w:color w:val="333333"/>
          <w:lang w:eastAsia="nb-NO"/>
        </w:rPr>
        <w:t>saksbehandlingsregler for NOKUTs virksomhet</w:t>
      </w:r>
      <w:r>
        <w:rPr>
          <w:rFonts w:asciiTheme="majorHAnsi" w:eastAsia="Times New Roman" w:hAnsiTheme="majorHAnsi" w:cstheme="majorHAnsi"/>
          <w:color w:val="333333"/>
          <w:lang w:eastAsia="nb-NO"/>
        </w:rPr>
        <w:t xml:space="preserve">». Formuleringen er </w:t>
      </w:r>
      <w:r w:rsidR="00A60A21">
        <w:rPr>
          <w:rFonts w:asciiTheme="majorHAnsi" w:eastAsia="Times New Roman" w:hAnsiTheme="majorHAnsi" w:cstheme="majorHAnsi"/>
          <w:color w:val="333333"/>
          <w:lang w:eastAsia="nb-NO"/>
        </w:rPr>
        <w:t xml:space="preserve">ut ifra sin ordlyd </w:t>
      </w:r>
      <w:r>
        <w:rPr>
          <w:rFonts w:asciiTheme="majorHAnsi" w:eastAsia="Times New Roman" w:hAnsiTheme="majorHAnsi" w:cstheme="majorHAnsi"/>
          <w:color w:val="333333"/>
          <w:lang w:eastAsia="nb-NO"/>
        </w:rPr>
        <w:t xml:space="preserve">knyttet til hele NOKUTs virksomhet som sådan og forskriftshjemmelen kan dermed i større grad sies å høre naturlig hjemme i uhl. § 2-1. At det ikke er gitt nærmere angivelser av hva slags type saksbehandlingsregler som kan gis og i hvilke relasjon fører </w:t>
      </w:r>
      <w:r w:rsidR="00713733">
        <w:rPr>
          <w:rFonts w:asciiTheme="majorHAnsi" w:eastAsia="Times New Roman" w:hAnsiTheme="majorHAnsi" w:cstheme="majorHAnsi"/>
          <w:color w:val="333333"/>
          <w:lang w:eastAsia="nb-NO"/>
        </w:rPr>
        <w:t xml:space="preserve">for øvrig </w:t>
      </w:r>
      <w:r>
        <w:rPr>
          <w:rFonts w:asciiTheme="majorHAnsi" w:eastAsia="Times New Roman" w:hAnsiTheme="majorHAnsi" w:cstheme="majorHAnsi"/>
          <w:color w:val="333333"/>
          <w:lang w:eastAsia="nb-NO"/>
        </w:rPr>
        <w:t>med seg visse begrensninger ettersom k</w:t>
      </w:r>
      <w:r w:rsidRPr="00924802">
        <w:rPr>
          <w:rFonts w:asciiTheme="majorHAnsi" w:eastAsia="Times New Roman" w:hAnsiTheme="majorHAnsi" w:cstheme="majorHAnsi"/>
          <w:color w:val="333333"/>
          <w:lang w:eastAsia="nb-NO"/>
        </w:rPr>
        <w:t>rav</w:t>
      </w:r>
      <w:r>
        <w:rPr>
          <w:rFonts w:asciiTheme="majorHAnsi" w:eastAsia="Times New Roman" w:hAnsiTheme="majorHAnsi" w:cstheme="majorHAnsi"/>
          <w:color w:val="333333"/>
          <w:lang w:eastAsia="nb-NO"/>
        </w:rPr>
        <w:t>ene til klar hjemmel skjerpes desto</w:t>
      </w:r>
      <w:r w:rsidRPr="00924802">
        <w:rPr>
          <w:rFonts w:asciiTheme="majorHAnsi" w:eastAsia="Times New Roman" w:hAnsiTheme="majorHAnsi" w:cstheme="majorHAnsi"/>
          <w:color w:val="333333"/>
          <w:lang w:eastAsia="nb-NO"/>
        </w:rPr>
        <w:t xml:space="preserve"> mer inngripende </w:t>
      </w:r>
      <w:r w:rsidR="00A60A21">
        <w:rPr>
          <w:rFonts w:asciiTheme="majorHAnsi" w:eastAsia="Times New Roman" w:hAnsiTheme="majorHAnsi" w:cstheme="majorHAnsi"/>
          <w:color w:val="333333"/>
          <w:lang w:eastAsia="nb-NO"/>
        </w:rPr>
        <w:t>forskrifter</w:t>
      </w:r>
      <w:r>
        <w:rPr>
          <w:rFonts w:asciiTheme="majorHAnsi" w:eastAsia="Times New Roman" w:hAnsiTheme="majorHAnsi" w:cstheme="majorHAnsi"/>
          <w:color w:val="333333"/>
          <w:lang w:eastAsia="nb-NO"/>
        </w:rPr>
        <w:t xml:space="preserve"> det er tale om å gi. </w:t>
      </w:r>
      <w:r w:rsidR="00E8702B" w:rsidRPr="00E8702B">
        <w:rPr>
          <w:rFonts w:asciiTheme="majorHAnsi" w:eastAsia="Times New Roman" w:hAnsiTheme="majorHAnsi" w:cstheme="majorHAnsi"/>
          <w:color w:val="333333"/>
          <w:lang w:eastAsia="nb-NO"/>
        </w:rPr>
        <w:t xml:space="preserve"> </w:t>
      </w:r>
      <w:r w:rsidR="00E8702B">
        <w:rPr>
          <w:rFonts w:asciiTheme="majorHAnsi" w:eastAsia="Times New Roman" w:hAnsiTheme="majorHAnsi" w:cstheme="majorHAnsi"/>
          <w:color w:val="333333"/>
          <w:lang w:eastAsia="nb-NO"/>
        </w:rPr>
        <w:t>Til sammenligning kan det nevnes at f</w:t>
      </w:r>
      <w:r w:rsidR="00E8702B" w:rsidRPr="00682EE1">
        <w:rPr>
          <w:rFonts w:asciiTheme="majorHAnsi" w:eastAsia="Times New Roman" w:hAnsiTheme="majorHAnsi" w:cstheme="majorHAnsi"/>
          <w:color w:val="333333"/>
          <w:lang w:eastAsia="nb-NO"/>
        </w:rPr>
        <w:t>agskoleloven</w:t>
      </w:r>
      <w:r w:rsidR="005C557E">
        <w:rPr>
          <w:rFonts w:asciiTheme="majorHAnsi" w:eastAsia="Times New Roman" w:hAnsiTheme="majorHAnsi" w:cstheme="majorHAnsi"/>
          <w:color w:val="333333"/>
          <w:lang w:eastAsia="nb-NO"/>
        </w:rPr>
        <w:t xml:space="preserve"> i</w:t>
      </w:r>
      <w:r w:rsidR="00E8702B" w:rsidRPr="00682EE1">
        <w:rPr>
          <w:rFonts w:asciiTheme="majorHAnsi" w:eastAsia="Times New Roman" w:hAnsiTheme="majorHAnsi" w:cstheme="majorHAnsi"/>
          <w:color w:val="333333"/>
          <w:lang w:eastAsia="nb-NO"/>
        </w:rPr>
        <w:t xml:space="preserve"> § 5 femte ledd bokstav c</w:t>
      </w:r>
      <w:r w:rsidR="005C557E">
        <w:rPr>
          <w:rFonts w:asciiTheme="majorHAnsi" w:eastAsia="Times New Roman" w:hAnsiTheme="majorHAnsi" w:cstheme="majorHAnsi"/>
          <w:color w:val="333333"/>
          <w:lang w:eastAsia="nb-NO"/>
        </w:rPr>
        <w:t xml:space="preserve"> knytter myndigheten til å gi saksbehandlingsregler</w:t>
      </w:r>
      <w:r w:rsidR="00E8702B" w:rsidRPr="00682EE1">
        <w:rPr>
          <w:rFonts w:asciiTheme="majorHAnsi" w:eastAsia="Times New Roman" w:hAnsiTheme="majorHAnsi" w:cstheme="majorHAnsi"/>
          <w:color w:val="333333"/>
          <w:lang w:eastAsia="nb-NO"/>
        </w:rPr>
        <w:t xml:space="preserve"> </w:t>
      </w:r>
      <w:r w:rsidR="005C557E">
        <w:rPr>
          <w:rFonts w:asciiTheme="majorHAnsi" w:eastAsia="Times New Roman" w:hAnsiTheme="majorHAnsi" w:cstheme="majorHAnsi"/>
          <w:color w:val="333333"/>
          <w:lang w:eastAsia="nb-NO"/>
        </w:rPr>
        <w:t>til akkrediteringsarbeidet.</w:t>
      </w:r>
    </w:p>
    <w:p w14:paraId="2C7D8B16" w14:textId="77777777" w:rsidR="003F6117" w:rsidRDefault="003F6117" w:rsidP="003F6117">
      <w:pPr>
        <w:spacing w:after="0" w:line="330" w:lineRule="atLeast"/>
        <w:textAlignment w:val="center"/>
        <w:rPr>
          <w:rFonts w:asciiTheme="majorHAnsi" w:eastAsia="Times New Roman" w:hAnsiTheme="majorHAnsi" w:cstheme="majorHAnsi"/>
          <w:color w:val="333333"/>
          <w:lang w:eastAsia="nb-NO"/>
        </w:rPr>
      </w:pPr>
    </w:p>
    <w:p w14:paraId="674DA893" w14:textId="77777777" w:rsidR="003F6117" w:rsidRPr="00FD19CB" w:rsidRDefault="003F6117" w:rsidP="003F6117">
      <w:pPr>
        <w:spacing w:after="0" w:line="330" w:lineRule="atLeast"/>
        <w:textAlignment w:val="center"/>
        <w:rPr>
          <w:rFonts w:asciiTheme="majorHAnsi" w:eastAsia="Times New Roman" w:hAnsiTheme="majorHAnsi" w:cstheme="majorHAnsi"/>
          <w:b/>
          <w:color w:val="333333"/>
          <w:lang w:eastAsia="nb-NO"/>
        </w:rPr>
      </w:pPr>
      <w:r>
        <w:rPr>
          <w:rFonts w:asciiTheme="majorHAnsi" w:eastAsia="Times New Roman" w:hAnsiTheme="majorHAnsi" w:cstheme="majorHAnsi"/>
          <w:b/>
          <w:color w:val="333333"/>
          <w:lang w:eastAsia="nb-NO"/>
        </w:rPr>
        <w:t xml:space="preserve">Forskriftshjemmel – til hvem </w:t>
      </w:r>
    </w:p>
    <w:p w14:paraId="29490A96" w14:textId="4CCB2CCC" w:rsidR="003F6117" w:rsidRPr="00C405F9" w:rsidRDefault="003F6117" w:rsidP="003F6117">
      <w:pPr>
        <w:spacing w:after="0" w:line="330" w:lineRule="atLeast"/>
        <w:textAlignment w:val="center"/>
        <w:rPr>
          <w:rFonts w:asciiTheme="majorHAnsi" w:eastAsia="Times New Roman" w:hAnsiTheme="majorHAnsi" w:cstheme="majorHAnsi"/>
          <w:color w:val="333333"/>
          <w:lang w:eastAsia="nb-NO"/>
        </w:rPr>
      </w:pPr>
      <w:r>
        <w:rPr>
          <w:rFonts w:asciiTheme="majorHAnsi" w:eastAsia="Times New Roman" w:hAnsiTheme="majorHAnsi" w:cstheme="majorHAnsi"/>
          <w:color w:val="333333"/>
          <w:lang w:eastAsia="nb-NO"/>
        </w:rPr>
        <w:t>Når det gjelder hvem forskriftshjemmelen retter seg mot kan myndighet til å gi forskrifter</w:t>
      </w:r>
      <w:r w:rsidRPr="00C405F9">
        <w:rPr>
          <w:rFonts w:asciiTheme="majorHAnsi" w:eastAsia="Times New Roman" w:hAnsiTheme="majorHAnsi" w:cstheme="majorHAnsi"/>
          <w:color w:val="333333"/>
          <w:lang w:eastAsia="nb-NO"/>
        </w:rPr>
        <w:t xml:space="preserve"> i loven legges til Kongen, departementet eller til et særskilt angitt forvaltningsorgan. </w:t>
      </w:r>
      <w:r>
        <w:rPr>
          <w:rFonts w:asciiTheme="majorHAnsi" w:eastAsia="Times New Roman" w:hAnsiTheme="majorHAnsi" w:cstheme="majorHAnsi"/>
          <w:color w:val="333333"/>
          <w:lang w:eastAsia="nb-NO"/>
        </w:rPr>
        <w:t>I utgangspunktet gjelder det ikke</w:t>
      </w:r>
      <w:r w:rsidRPr="00C405F9">
        <w:rPr>
          <w:rFonts w:asciiTheme="majorHAnsi" w:eastAsia="Times New Roman" w:hAnsiTheme="majorHAnsi" w:cstheme="majorHAnsi"/>
          <w:color w:val="333333"/>
          <w:lang w:eastAsia="nb-NO"/>
        </w:rPr>
        <w:t xml:space="preserve"> faste normer for på hvilket nivå forskriftskompetansen skal legges</w:t>
      </w:r>
      <w:r>
        <w:rPr>
          <w:rFonts w:asciiTheme="majorHAnsi" w:eastAsia="Times New Roman" w:hAnsiTheme="majorHAnsi" w:cstheme="majorHAnsi"/>
          <w:color w:val="333333"/>
          <w:lang w:eastAsia="nb-NO"/>
        </w:rPr>
        <w:t xml:space="preserve">. Dersom </w:t>
      </w:r>
      <w:r w:rsidRPr="00DC3213">
        <w:rPr>
          <w:rFonts w:asciiTheme="majorHAnsi" w:eastAsia="Times New Roman" w:hAnsiTheme="majorHAnsi" w:cstheme="majorHAnsi"/>
          <w:color w:val="333333"/>
          <w:lang w:eastAsia="nb-NO"/>
        </w:rPr>
        <w:t xml:space="preserve">det </w:t>
      </w:r>
      <w:r>
        <w:rPr>
          <w:rFonts w:asciiTheme="majorHAnsi" w:eastAsia="Times New Roman" w:hAnsiTheme="majorHAnsi" w:cstheme="majorHAnsi"/>
          <w:color w:val="333333"/>
          <w:lang w:eastAsia="nb-NO"/>
        </w:rPr>
        <w:t xml:space="preserve">dreier </w:t>
      </w:r>
      <w:r w:rsidRPr="00DC3213">
        <w:rPr>
          <w:rFonts w:asciiTheme="majorHAnsi" w:eastAsia="Times New Roman" w:hAnsiTheme="majorHAnsi" w:cstheme="majorHAnsi"/>
          <w:color w:val="333333"/>
          <w:lang w:eastAsia="nb-NO"/>
        </w:rPr>
        <w:t>seg om forskrifter som vil ha en vesentlig betydning for et</w:t>
      </w:r>
      <w:r>
        <w:rPr>
          <w:rFonts w:asciiTheme="majorHAnsi" w:eastAsia="Times New Roman" w:hAnsiTheme="majorHAnsi" w:cstheme="majorHAnsi"/>
          <w:color w:val="333333"/>
          <w:lang w:eastAsia="nb-NO"/>
        </w:rPr>
        <w:t xml:space="preserve"> stort antall brukere kan det </w:t>
      </w:r>
      <w:r w:rsidRPr="00DC3213">
        <w:rPr>
          <w:rFonts w:asciiTheme="majorHAnsi" w:eastAsia="Times New Roman" w:hAnsiTheme="majorHAnsi" w:cstheme="majorHAnsi"/>
          <w:color w:val="333333"/>
          <w:lang w:eastAsia="nb-NO"/>
        </w:rPr>
        <w:t>tale for å legge kompetansen til Kongen</w:t>
      </w:r>
      <w:r>
        <w:rPr>
          <w:rFonts w:asciiTheme="majorHAnsi" w:eastAsia="Times New Roman" w:hAnsiTheme="majorHAnsi" w:cstheme="majorHAnsi"/>
          <w:color w:val="333333"/>
          <w:lang w:eastAsia="nb-NO"/>
        </w:rPr>
        <w:t xml:space="preserve">, selv om det er en tendens til delegering av lovgivningsmyndighet direkte til departementet. Derimot er det mer </w:t>
      </w:r>
      <w:r w:rsidRPr="00DC3213">
        <w:rPr>
          <w:rFonts w:asciiTheme="majorHAnsi" w:eastAsia="Times New Roman" w:hAnsiTheme="majorHAnsi" w:cstheme="majorHAnsi"/>
          <w:color w:val="333333"/>
          <w:lang w:eastAsia="nb-NO"/>
        </w:rPr>
        <w:t>aktuelt å legge forskriftskompetanse til et særskilt angitt forvaltningsorgan ved forskrifter av mer teknisk karakter</w:t>
      </w:r>
      <w:r>
        <w:rPr>
          <w:rFonts w:asciiTheme="majorHAnsi" w:eastAsia="Times New Roman" w:hAnsiTheme="majorHAnsi" w:cstheme="majorHAnsi"/>
          <w:color w:val="333333"/>
          <w:lang w:eastAsia="nb-NO"/>
        </w:rPr>
        <w:t>,</w:t>
      </w:r>
      <w:r w:rsidRPr="00DC3213">
        <w:rPr>
          <w:rFonts w:asciiTheme="majorHAnsi" w:eastAsia="Times New Roman" w:hAnsiTheme="majorHAnsi" w:cstheme="majorHAnsi"/>
          <w:color w:val="333333"/>
          <w:lang w:eastAsia="nb-NO"/>
        </w:rPr>
        <w:t xml:space="preserve"> og ved lokale forskrifter.</w:t>
      </w:r>
      <w:r>
        <w:rPr>
          <w:rFonts w:asciiTheme="majorHAnsi" w:eastAsia="Times New Roman" w:hAnsiTheme="majorHAnsi" w:cstheme="majorHAnsi"/>
          <w:color w:val="333333"/>
          <w:lang w:eastAsia="nb-NO"/>
        </w:rPr>
        <w:t xml:space="preserve"> Uavhengig av hvilket nivå forskriftskompetansen legges på er det Justisdepartementets lovavdelings anbefaling at gradering, i form av at myndighet i en </w:t>
      </w:r>
      <w:r w:rsidRPr="00C405F9">
        <w:rPr>
          <w:rFonts w:asciiTheme="majorHAnsi" w:eastAsia="Times New Roman" w:hAnsiTheme="majorHAnsi" w:cstheme="majorHAnsi"/>
          <w:color w:val="333333"/>
          <w:lang w:eastAsia="nb-NO"/>
        </w:rPr>
        <w:t>lov dels er lagt til Kongen, del</w:t>
      </w:r>
      <w:r>
        <w:rPr>
          <w:rFonts w:asciiTheme="majorHAnsi" w:eastAsia="Times New Roman" w:hAnsiTheme="majorHAnsi" w:cstheme="majorHAnsi"/>
          <w:color w:val="333333"/>
          <w:lang w:eastAsia="nb-NO"/>
        </w:rPr>
        <w:t>s</w:t>
      </w:r>
      <w:r w:rsidRPr="00C405F9">
        <w:rPr>
          <w:rFonts w:asciiTheme="majorHAnsi" w:eastAsia="Times New Roman" w:hAnsiTheme="majorHAnsi" w:cstheme="majorHAnsi"/>
          <w:color w:val="333333"/>
          <w:lang w:eastAsia="nb-NO"/>
        </w:rPr>
        <w:t xml:space="preserve"> til departementet og eventuelt ogs</w:t>
      </w:r>
      <w:r>
        <w:rPr>
          <w:rFonts w:asciiTheme="majorHAnsi" w:eastAsia="Times New Roman" w:hAnsiTheme="majorHAnsi" w:cstheme="majorHAnsi"/>
          <w:color w:val="333333"/>
          <w:lang w:eastAsia="nb-NO"/>
        </w:rPr>
        <w:t>å til andre forvaltningsorganer, bør unngås</w:t>
      </w:r>
      <w:r w:rsidRPr="00C405F9">
        <w:rPr>
          <w:rFonts w:asciiTheme="majorHAnsi" w:eastAsia="Times New Roman" w:hAnsiTheme="majorHAnsi" w:cstheme="majorHAnsi"/>
          <w:color w:val="333333"/>
          <w:lang w:eastAsia="nb-NO"/>
        </w:rPr>
        <w:t>.</w:t>
      </w:r>
      <w:r>
        <w:rPr>
          <w:rStyle w:val="Fotnotereferanse"/>
          <w:rFonts w:asciiTheme="majorHAnsi" w:eastAsia="Times New Roman" w:hAnsiTheme="majorHAnsi" w:cstheme="majorHAnsi"/>
          <w:color w:val="333333"/>
          <w:lang w:eastAsia="nb-NO"/>
        </w:rPr>
        <w:footnoteReference w:id="7"/>
      </w:r>
      <w:r w:rsidRPr="00C405F9">
        <w:rPr>
          <w:rFonts w:asciiTheme="majorHAnsi" w:eastAsia="Times New Roman" w:hAnsiTheme="majorHAnsi" w:cstheme="majorHAnsi"/>
          <w:color w:val="333333"/>
          <w:lang w:eastAsia="nb-NO"/>
        </w:rPr>
        <w:t xml:space="preserve"> </w:t>
      </w:r>
      <w:r>
        <w:rPr>
          <w:rFonts w:asciiTheme="majorHAnsi" w:eastAsia="Times New Roman" w:hAnsiTheme="majorHAnsi" w:cstheme="majorHAnsi"/>
          <w:color w:val="333333"/>
          <w:lang w:eastAsia="nb-NO"/>
        </w:rPr>
        <w:t xml:space="preserve">Loven bør altså unnlate å legge myndighet til </w:t>
      </w:r>
      <w:r w:rsidR="00833344">
        <w:rPr>
          <w:rFonts w:asciiTheme="majorHAnsi" w:eastAsia="Times New Roman" w:hAnsiTheme="majorHAnsi" w:cstheme="majorHAnsi"/>
          <w:color w:val="333333"/>
          <w:lang w:eastAsia="nb-NO"/>
        </w:rPr>
        <w:t xml:space="preserve">flere </w:t>
      </w:r>
      <w:r>
        <w:rPr>
          <w:rFonts w:asciiTheme="majorHAnsi" w:eastAsia="Times New Roman" w:hAnsiTheme="majorHAnsi" w:cstheme="majorHAnsi"/>
          <w:color w:val="333333"/>
          <w:lang w:eastAsia="nb-NO"/>
        </w:rPr>
        <w:t>ulike forvaltningsnivåer.</w:t>
      </w:r>
    </w:p>
    <w:p w14:paraId="7227E7A4" w14:textId="77777777" w:rsidR="003F6117" w:rsidRPr="00C405F9" w:rsidRDefault="003F6117" w:rsidP="003F6117">
      <w:pPr>
        <w:spacing w:after="0" w:line="330" w:lineRule="atLeast"/>
        <w:textAlignment w:val="center"/>
        <w:rPr>
          <w:rFonts w:asciiTheme="majorHAnsi" w:eastAsia="Times New Roman" w:hAnsiTheme="majorHAnsi" w:cstheme="majorHAnsi"/>
          <w:color w:val="333333"/>
          <w:lang w:eastAsia="nb-NO"/>
        </w:rPr>
      </w:pPr>
    </w:p>
    <w:p w14:paraId="7FEE85E5" w14:textId="77777777" w:rsidR="003F6117" w:rsidRDefault="003F6117" w:rsidP="003F6117">
      <w:pPr>
        <w:spacing w:after="0" w:line="330" w:lineRule="atLeast"/>
        <w:textAlignment w:val="center"/>
        <w:rPr>
          <w:rFonts w:asciiTheme="majorHAnsi" w:eastAsia="Times New Roman" w:hAnsiTheme="majorHAnsi" w:cstheme="majorHAnsi"/>
          <w:color w:val="333333"/>
          <w:lang w:eastAsia="nb-NO"/>
        </w:rPr>
      </w:pPr>
      <w:r>
        <w:rPr>
          <w:rFonts w:asciiTheme="majorHAnsi" w:eastAsia="Times New Roman" w:hAnsiTheme="majorHAnsi" w:cstheme="majorHAnsi"/>
          <w:color w:val="333333"/>
          <w:lang w:eastAsia="nb-NO"/>
        </w:rPr>
        <w:t xml:space="preserve">I tråd med Justisdepartementets anbefaling anser </w:t>
      </w:r>
      <w:r w:rsidRPr="00C405F9">
        <w:rPr>
          <w:rFonts w:asciiTheme="majorHAnsi" w:eastAsia="Times New Roman" w:hAnsiTheme="majorHAnsi" w:cstheme="majorHAnsi"/>
          <w:color w:val="333333"/>
          <w:lang w:eastAsia="nb-NO"/>
        </w:rPr>
        <w:t>NOKUT</w:t>
      </w:r>
      <w:r>
        <w:rPr>
          <w:rFonts w:asciiTheme="majorHAnsi" w:eastAsia="Times New Roman" w:hAnsiTheme="majorHAnsi" w:cstheme="majorHAnsi"/>
          <w:color w:val="333333"/>
          <w:lang w:eastAsia="nb-NO"/>
        </w:rPr>
        <w:t xml:space="preserve"> det uhensiktsmessig at NOKUT er gitt</w:t>
      </w:r>
      <w:r w:rsidRPr="00C405F9">
        <w:rPr>
          <w:rFonts w:asciiTheme="majorHAnsi" w:eastAsia="Times New Roman" w:hAnsiTheme="majorHAnsi" w:cstheme="majorHAnsi"/>
          <w:color w:val="333333"/>
          <w:lang w:eastAsia="nb-NO"/>
        </w:rPr>
        <w:t xml:space="preserve"> adgang til å gi utfyllende forskrift om de samme emnene som departementet. F</w:t>
      </w:r>
      <w:r>
        <w:rPr>
          <w:rFonts w:asciiTheme="majorHAnsi" w:eastAsia="Times New Roman" w:hAnsiTheme="majorHAnsi" w:cstheme="majorHAnsi"/>
          <w:color w:val="333333"/>
          <w:lang w:eastAsia="nb-NO"/>
        </w:rPr>
        <w:t xml:space="preserve">or NOKUT fremstår det </w:t>
      </w:r>
      <w:r w:rsidRPr="00C405F9">
        <w:rPr>
          <w:rFonts w:asciiTheme="majorHAnsi" w:eastAsia="Times New Roman" w:hAnsiTheme="majorHAnsi" w:cstheme="majorHAnsi"/>
          <w:color w:val="333333"/>
          <w:lang w:eastAsia="nb-NO"/>
        </w:rPr>
        <w:t xml:space="preserve">unødig kompliserende at departementet og NOKUT fastsetter hver sine forskrifter om grunnleggende samme tematikk rettet mot samme pliktsubjekter. </w:t>
      </w:r>
      <w:r>
        <w:rPr>
          <w:rFonts w:asciiTheme="majorHAnsi" w:eastAsia="Times New Roman" w:hAnsiTheme="majorHAnsi" w:cstheme="majorHAnsi"/>
          <w:color w:val="333333"/>
          <w:lang w:eastAsia="nb-NO"/>
        </w:rPr>
        <w:t xml:space="preserve"> </w:t>
      </w:r>
    </w:p>
    <w:p w14:paraId="7C93A430" w14:textId="77777777" w:rsidR="003F6117" w:rsidRDefault="003F6117" w:rsidP="003F6117">
      <w:pPr>
        <w:spacing w:after="0" w:line="330" w:lineRule="atLeast"/>
        <w:textAlignment w:val="center"/>
        <w:rPr>
          <w:rFonts w:asciiTheme="majorHAnsi" w:eastAsia="Times New Roman" w:hAnsiTheme="majorHAnsi" w:cstheme="majorHAnsi"/>
          <w:color w:val="333333"/>
          <w:lang w:eastAsia="nb-NO"/>
        </w:rPr>
      </w:pPr>
    </w:p>
    <w:p w14:paraId="470ECB56" w14:textId="620AD49C" w:rsidR="003F6117" w:rsidRPr="006C7EA0" w:rsidRDefault="003F6117" w:rsidP="003F6117">
      <w:pPr>
        <w:spacing w:after="0" w:line="330" w:lineRule="atLeast"/>
        <w:textAlignment w:val="center"/>
        <w:rPr>
          <w:rFonts w:asciiTheme="majorHAnsi" w:eastAsia="Times New Roman" w:hAnsiTheme="majorHAnsi" w:cstheme="majorHAnsi"/>
          <w:color w:val="333333"/>
          <w:lang w:eastAsia="nb-NO"/>
        </w:rPr>
      </w:pPr>
      <w:r>
        <w:rPr>
          <w:rFonts w:asciiTheme="majorHAnsi" w:eastAsia="Times New Roman" w:hAnsiTheme="majorHAnsi" w:cstheme="majorHAnsi"/>
          <w:color w:val="333333"/>
          <w:lang w:eastAsia="nb-NO"/>
        </w:rPr>
        <w:t xml:space="preserve">All den tid forskriftene hverken er av utpreget teknisk karakter eller er lokale mener NOKUT </w:t>
      </w:r>
      <w:r w:rsidRPr="00AF3946">
        <w:rPr>
          <w:rFonts w:asciiTheme="majorHAnsi" w:eastAsia="Times New Roman" w:hAnsiTheme="majorHAnsi" w:cstheme="majorHAnsi"/>
          <w:color w:val="333333"/>
          <w:lang w:eastAsia="nb-NO"/>
        </w:rPr>
        <w:t xml:space="preserve">at </w:t>
      </w:r>
      <w:r>
        <w:rPr>
          <w:rFonts w:asciiTheme="majorHAnsi" w:eastAsia="Times New Roman" w:hAnsiTheme="majorHAnsi" w:cstheme="majorHAnsi"/>
          <w:color w:val="333333"/>
          <w:lang w:eastAsia="nb-NO"/>
        </w:rPr>
        <w:t xml:space="preserve">det </w:t>
      </w:r>
      <w:r w:rsidRPr="00A70ADA">
        <w:rPr>
          <w:rFonts w:asciiTheme="majorHAnsi" w:eastAsia="Times New Roman" w:hAnsiTheme="majorHAnsi" w:cstheme="majorHAnsi"/>
          <w:color w:val="333333"/>
          <w:lang w:eastAsia="nb-NO"/>
        </w:rPr>
        <w:t>som utgangspunkt</w:t>
      </w:r>
      <w:r w:rsidRPr="00AF3946">
        <w:rPr>
          <w:rFonts w:asciiTheme="majorHAnsi" w:eastAsia="Times New Roman" w:hAnsiTheme="majorHAnsi" w:cstheme="majorHAnsi"/>
          <w:color w:val="333333"/>
          <w:lang w:eastAsia="nb-NO"/>
        </w:rPr>
        <w:t xml:space="preserve"> er </w:t>
      </w:r>
      <w:r>
        <w:rPr>
          <w:rFonts w:asciiTheme="majorHAnsi" w:eastAsia="Times New Roman" w:hAnsiTheme="majorHAnsi" w:cstheme="majorHAnsi"/>
          <w:color w:val="333333"/>
          <w:lang w:eastAsia="nb-NO"/>
        </w:rPr>
        <w:t xml:space="preserve">mest </w:t>
      </w:r>
      <w:r w:rsidRPr="00AF3946">
        <w:rPr>
          <w:rFonts w:asciiTheme="majorHAnsi" w:eastAsia="Times New Roman" w:hAnsiTheme="majorHAnsi" w:cstheme="majorHAnsi"/>
          <w:color w:val="333333"/>
          <w:lang w:eastAsia="nb-NO"/>
        </w:rPr>
        <w:t xml:space="preserve">hensiktsmessig at </w:t>
      </w:r>
      <w:r>
        <w:rPr>
          <w:rFonts w:asciiTheme="majorHAnsi" w:eastAsia="Times New Roman" w:hAnsiTheme="majorHAnsi" w:cstheme="majorHAnsi"/>
          <w:color w:val="333333"/>
          <w:lang w:eastAsia="nb-NO"/>
        </w:rPr>
        <w:t>departementet</w:t>
      </w:r>
      <w:r w:rsidRPr="00AF3946">
        <w:rPr>
          <w:rFonts w:asciiTheme="majorHAnsi" w:eastAsia="Times New Roman" w:hAnsiTheme="majorHAnsi" w:cstheme="majorHAnsi"/>
          <w:color w:val="333333"/>
          <w:lang w:eastAsia="nb-NO"/>
        </w:rPr>
        <w:t xml:space="preserve"> fastsetter</w:t>
      </w:r>
      <w:r>
        <w:rPr>
          <w:rFonts w:asciiTheme="majorHAnsi" w:eastAsia="Times New Roman" w:hAnsiTheme="majorHAnsi" w:cstheme="majorHAnsi"/>
          <w:color w:val="333333"/>
          <w:lang w:eastAsia="nb-NO"/>
        </w:rPr>
        <w:t xml:space="preserve"> forskriftene, mens </w:t>
      </w:r>
      <w:r w:rsidRPr="00A70ADA">
        <w:rPr>
          <w:rFonts w:asciiTheme="majorHAnsi" w:eastAsia="Times New Roman" w:hAnsiTheme="majorHAnsi" w:cstheme="majorHAnsi"/>
          <w:color w:val="333333"/>
          <w:lang w:eastAsia="nb-NO"/>
        </w:rPr>
        <w:t xml:space="preserve">NOKUT </w:t>
      </w:r>
      <w:r w:rsidR="006C7EA0">
        <w:rPr>
          <w:rFonts w:asciiTheme="majorHAnsi" w:eastAsia="Times New Roman" w:hAnsiTheme="majorHAnsi" w:cstheme="majorHAnsi"/>
          <w:color w:val="333333"/>
          <w:lang w:eastAsia="nb-NO"/>
        </w:rPr>
        <w:t xml:space="preserve">heller gis i oppdrag å </w:t>
      </w:r>
      <w:r w:rsidRPr="00A70ADA">
        <w:rPr>
          <w:rFonts w:asciiTheme="majorHAnsi" w:eastAsia="Times New Roman" w:hAnsiTheme="majorHAnsi" w:cstheme="majorHAnsi"/>
          <w:color w:val="333333"/>
          <w:lang w:eastAsia="nb-NO"/>
        </w:rPr>
        <w:t xml:space="preserve">utarbeide forslag til </w:t>
      </w:r>
      <w:r>
        <w:rPr>
          <w:rFonts w:asciiTheme="majorHAnsi" w:eastAsia="Times New Roman" w:hAnsiTheme="majorHAnsi" w:cstheme="majorHAnsi"/>
          <w:color w:val="333333"/>
          <w:lang w:eastAsia="nb-NO"/>
        </w:rPr>
        <w:t>forskrifter</w:t>
      </w:r>
      <w:r w:rsidRPr="00AF3946">
        <w:rPr>
          <w:rFonts w:asciiTheme="majorHAnsi" w:eastAsia="Times New Roman" w:hAnsiTheme="majorHAnsi" w:cstheme="majorHAnsi"/>
          <w:color w:val="333333"/>
          <w:lang w:eastAsia="nb-NO"/>
        </w:rPr>
        <w:t>.</w:t>
      </w:r>
      <w:r w:rsidR="00757423">
        <w:rPr>
          <w:rFonts w:asciiTheme="majorHAnsi" w:eastAsia="Times New Roman" w:hAnsiTheme="majorHAnsi" w:cstheme="majorHAnsi"/>
          <w:color w:val="333333"/>
          <w:lang w:eastAsia="nb-NO"/>
        </w:rPr>
        <w:t xml:space="preserve"> </w:t>
      </w:r>
      <w:r w:rsidR="00757423" w:rsidRPr="006C7EA0">
        <w:rPr>
          <w:rFonts w:asciiTheme="majorHAnsi" w:eastAsia="Calibri" w:hAnsiTheme="majorHAnsi" w:cstheme="majorHAnsi"/>
        </w:rPr>
        <w:t xml:space="preserve">Kunnskapsdepartementet har uttrykt </w:t>
      </w:r>
      <w:r w:rsidR="007B1B4F">
        <w:rPr>
          <w:rFonts w:asciiTheme="majorHAnsi" w:eastAsia="Calibri" w:hAnsiTheme="majorHAnsi" w:cstheme="majorHAnsi"/>
        </w:rPr>
        <w:t xml:space="preserve">et </w:t>
      </w:r>
      <w:r w:rsidR="00757423" w:rsidRPr="006C7EA0">
        <w:rPr>
          <w:rFonts w:asciiTheme="majorHAnsi" w:eastAsia="Calibri" w:hAnsiTheme="majorHAnsi" w:cstheme="majorHAnsi"/>
        </w:rPr>
        <w:t>ønske om en utvikling der NOKUT i større grad overtar ansvaret for forskriftsforvaltningen i UH-sektoren. Det vil kunne medføre en tettere dialog mellom K</w:t>
      </w:r>
      <w:r w:rsidR="006C7EA0">
        <w:rPr>
          <w:rFonts w:asciiTheme="majorHAnsi" w:eastAsia="Calibri" w:hAnsiTheme="majorHAnsi" w:cstheme="majorHAnsi"/>
        </w:rPr>
        <w:t>unnskapsdepartementet</w:t>
      </w:r>
      <w:r w:rsidR="00757423" w:rsidRPr="006C7EA0">
        <w:rPr>
          <w:rFonts w:asciiTheme="majorHAnsi" w:eastAsia="Calibri" w:hAnsiTheme="majorHAnsi" w:cstheme="majorHAnsi"/>
        </w:rPr>
        <w:t xml:space="preserve"> og NOKUT med tanke på å utvikle et adekvat og enhetlig regelverk på dette området.</w:t>
      </w:r>
    </w:p>
    <w:p w14:paraId="558F79AD" w14:textId="77777777" w:rsidR="003F6117" w:rsidRPr="00BE554A" w:rsidRDefault="003F6117" w:rsidP="003F6117">
      <w:pPr>
        <w:spacing w:after="0" w:line="330" w:lineRule="atLeast"/>
        <w:textAlignment w:val="center"/>
        <w:rPr>
          <w:rFonts w:asciiTheme="majorHAnsi" w:eastAsia="Times New Roman" w:hAnsiTheme="majorHAnsi" w:cstheme="majorHAnsi"/>
          <w:color w:val="333333"/>
          <w:lang w:eastAsia="nb-NO"/>
        </w:rPr>
      </w:pPr>
    </w:p>
    <w:p w14:paraId="31876F39" w14:textId="664493EE" w:rsidR="00DE01FF" w:rsidRDefault="00A60963" w:rsidP="003F6117">
      <w:pPr>
        <w:pStyle w:val="Overskrift1"/>
        <w:numPr>
          <w:ilvl w:val="1"/>
          <w:numId w:val="2"/>
        </w:numPr>
        <w:spacing w:before="0"/>
        <w:rPr>
          <w:rFonts w:eastAsia="Times New Roman" w:cstheme="majorHAnsi"/>
          <w:sz w:val="22"/>
          <w:szCs w:val="22"/>
          <w:lang w:eastAsia="nb-NO"/>
        </w:rPr>
      </w:pPr>
      <w:r>
        <w:rPr>
          <w:rFonts w:eastAsia="Times New Roman" w:cstheme="majorHAnsi"/>
          <w:sz w:val="22"/>
          <w:szCs w:val="22"/>
          <w:lang w:eastAsia="nb-NO"/>
        </w:rPr>
        <w:lastRenderedPageBreak/>
        <w:t xml:space="preserve"> </w:t>
      </w:r>
      <w:bookmarkStart w:id="10" w:name="_Toc9835497"/>
      <w:r w:rsidR="00DE01FF">
        <w:rPr>
          <w:rFonts w:eastAsia="Times New Roman" w:cstheme="majorHAnsi"/>
          <w:sz w:val="22"/>
          <w:szCs w:val="22"/>
          <w:lang w:eastAsia="nb-NO"/>
        </w:rPr>
        <w:t>«Standarder og kriterier»</w:t>
      </w:r>
      <w:bookmarkEnd w:id="10"/>
    </w:p>
    <w:p w14:paraId="44ED5822" w14:textId="5981F826" w:rsidR="00B14871" w:rsidRPr="00CF0418" w:rsidRDefault="00F25E5D" w:rsidP="00137A0C">
      <w:pPr>
        <w:rPr>
          <w:rFonts w:asciiTheme="majorHAnsi" w:hAnsiTheme="majorHAnsi" w:cstheme="majorHAnsi"/>
          <w:lang w:eastAsia="nb-NO"/>
        </w:rPr>
      </w:pPr>
      <w:r w:rsidRPr="00CF0418">
        <w:rPr>
          <w:rFonts w:asciiTheme="majorHAnsi" w:hAnsiTheme="majorHAnsi" w:cstheme="majorHAnsi"/>
          <w:lang w:eastAsia="nb-NO"/>
        </w:rPr>
        <w:t xml:space="preserve">Avslutningsvis kan det også nevnes at NOKUT stiller seg </w:t>
      </w:r>
      <w:r w:rsidR="00DE01FF" w:rsidRPr="00CF0418">
        <w:rPr>
          <w:rFonts w:asciiTheme="majorHAnsi" w:hAnsiTheme="majorHAnsi" w:cstheme="majorHAnsi"/>
          <w:lang w:eastAsia="nb-NO"/>
        </w:rPr>
        <w:t xml:space="preserve">spørrende til forskjellen i begrepsbruk knyttet til </w:t>
      </w:r>
      <w:r w:rsidR="00CD7769" w:rsidRPr="00CF0418">
        <w:rPr>
          <w:rFonts w:asciiTheme="majorHAnsi" w:hAnsiTheme="majorHAnsi" w:cstheme="majorHAnsi"/>
          <w:lang w:eastAsia="nb-NO"/>
        </w:rPr>
        <w:t>«</w:t>
      </w:r>
      <w:r w:rsidR="00CD7769" w:rsidRPr="00EC6037">
        <w:rPr>
          <w:rFonts w:asciiTheme="majorHAnsi" w:hAnsiTheme="majorHAnsi" w:cstheme="majorHAnsi"/>
          <w:i/>
          <w:lang w:eastAsia="nb-NO"/>
        </w:rPr>
        <w:t>standarder og kriterier</w:t>
      </w:r>
      <w:r w:rsidR="00CD7769" w:rsidRPr="00CF0418">
        <w:rPr>
          <w:rFonts w:asciiTheme="majorHAnsi" w:hAnsiTheme="majorHAnsi" w:cstheme="majorHAnsi"/>
          <w:lang w:eastAsia="nb-NO"/>
        </w:rPr>
        <w:t xml:space="preserve">» for </w:t>
      </w:r>
      <w:r w:rsidR="00DE01FF" w:rsidRPr="00CF0418">
        <w:rPr>
          <w:rFonts w:asciiTheme="majorHAnsi" w:hAnsiTheme="majorHAnsi" w:cstheme="majorHAnsi"/>
          <w:lang w:eastAsia="nb-NO"/>
        </w:rPr>
        <w:t xml:space="preserve">akkreditering i </w:t>
      </w:r>
      <w:r w:rsidR="00CD7769" w:rsidRPr="00CF0418">
        <w:rPr>
          <w:rFonts w:asciiTheme="majorHAnsi" w:hAnsiTheme="majorHAnsi" w:cstheme="majorHAnsi"/>
          <w:lang w:eastAsia="nb-NO"/>
        </w:rPr>
        <w:t>uhl. § 2-1 og «</w:t>
      </w:r>
      <w:r w:rsidR="00CD7769" w:rsidRPr="00EC6037">
        <w:rPr>
          <w:rFonts w:asciiTheme="majorHAnsi" w:hAnsiTheme="majorHAnsi" w:cstheme="majorHAnsi"/>
          <w:i/>
          <w:lang w:eastAsia="nb-NO"/>
        </w:rPr>
        <w:t>vilkår</w:t>
      </w:r>
      <w:r w:rsidR="00CD7769" w:rsidRPr="00CF0418">
        <w:rPr>
          <w:rFonts w:asciiTheme="majorHAnsi" w:hAnsiTheme="majorHAnsi" w:cstheme="majorHAnsi"/>
          <w:lang w:eastAsia="nb-NO"/>
        </w:rPr>
        <w:t xml:space="preserve">» for akkreditering i </w:t>
      </w:r>
      <w:r w:rsidR="00DE01FF" w:rsidRPr="00CF0418">
        <w:rPr>
          <w:rFonts w:asciiTheme="majorHAnsi" w:hAnsiTheme="majorHAnsi" w:cstheme="majorHAnsi"/>
          <w:lang w:eastAsia="nb-NO"/>
        </w:rPr>
        <w:t>fagskoleloven § 5 femte ledd</w:t>
      </w:r>
      <w:r w:rsidR="00CD7769" w:rsidRPr="00CF0418">
        <w:rPr>
          <w:rFonts w:asciiTheme="majorHAnsi" w:hAnsiTheme="majorHAnsi" w:cstheme="majorHAnsi"/>
          <w:lang w:eastAsia="nb-NO"/>
        </w:rPr>
        <w:t>.</w:t>
      </w:r>
    </w:p>
    <w:sectPr w:rsidR="00B14871" w:rsidRPr="00CF041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DB7BA" w14:textId="77777777" w:rsidR="00261656" w:rsidRDefault="00261656" w:rsidP="003D1DDA">
      <w:pPr>
        <w:spacing w:after="0" w:line="240" w:lineRule="auto"/>
      </w:pPr>
      <w:r>
        <w:separator/>
      </w:r>
    </w:p>
  </w:endnote>
  <w:endnote w:type="continuationSeparator" w:id="0">
    <w:p w14:paraId="662A4113" w14:textId="77777777" w:rsidR="00261656" w:rsidRDefault="00261656" w:rsidP="003D1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337803"/>
      <w:docPartObj>
        <w:docPartGallery w:val="Page Numbers (Bottom of Page)"/>
        <w:docPartUnique/>
      </w:docPartObj>
    </w:sdtPr>
    <w:sdtEndPr/>
    <w:sdtContent>
      <w:p w14:paraId="32E9ED89" w14:textId="64B08195" w:rsidR="00ED32E2" w:rsidRDefault="00ED32E2">
        <w:pPr>
          <w:pStyle w:val="Bunntekst"/>
          <w:jc w:val="right"/>
        </w:pPr>
        <w:r>
          <w:fldChar w:fldCharType="begin"/>
        </w:r>
        <w:r>
          <w:instrText>PAGE   \* MERGEFORMAT</w:instrText>
        </w:r>
        <w:r>
          <w:fldChar w:fldCharType="separate"/>
        </w:r>
        <w:r w:rsidR="003D3649">
          <w:rPr>
            <w:noProof/>
          </w:rPr>
          <w:t>1</w:t>
        </w:r>
        <w:r>
          <w:fldChar w:fldCharType="end"/>
        </w:r>
      </w:p>
    </w:sdtContent>
  </w:sdt>
  <w:p w14:paraId="5CDDD913" w14:textId="20D60A0D" w:rsidR="00ED32E2" w:rsidRDefault="003E3529" w:rsidP="003E3529">
    <w:pPr>
      <w:pStyle w:val="Bunntekst"/>
      <w:tabs>
        <w:tab w:val="clear" w:pos="4536"/>
        <w:tab w:val="clear" w:pos="9072"/>
        <w:tab w:val="left" w:pos="406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BB301" w14:textId="77777777" w:rsidR="00261656" w:rsidRDefault="00261656" w:rsidP="003D1DDA">
      <w:pPr>
        <w:spacing w:after="0" w:line="240" w:lineRule="auto"/>
      </w:pPr>
      <w:r>
        <w:separator/>
      </w:r>
    </w:p>
  </w:footnote>
  <w:footnote w:type="continuationSeparator" w:id="0">
    <w:p w14:paraId="4A4DAB20" w14:textId="77777777" w:rsidR="00261656" w:rsidRDefault="00261656" w:rsidP="003D1DDA">
      <w:pPr>
        <w:spacing w:after="0" w:line="240" w:lineRule="auto"/>
      </w:pPr>
      <w:r>
        <w:continuationSeparator/>
      </w:r>
    </w:p>
  </w:footnote>
  <w:footnote w:id="1">
    <w:p w14:paraId="71568A63" w14:textId="1B3E5966" w:rsidR="003F7E7E" w:rsidRPr="003F7E7E" w:rsidRDefault="003F7E7E">
      <w:pPr>
        <w:pStyle w:val="Fotnotetekst"/>
      </w:pPr>
      <w:r>
        <w:rPr>
          <w:rStyle w:val="Fotnotereferanse"/>
        </w:rPr>
        <w:footnoteRef/>
      </w:r>
      <w:r w:rsidRPr="003F7E7E">
        <w:t xml:space="preserve"> Lov 1. april 2005 nr. 15 om universiteter og høyskoler (universitets- og høyskoleloven).</w:t>
      </w:r>
    </w:p>
  </w:footnote>
  <w:footnote w:id="2">
    <w:p w14:paraId="437E960B" w14:textId="0C68B029" w:rsidR="00ED32E2" w:rsidRPr="00DF0106" w:rsidRDefault="00ED32E2">
      <w:pPr>
        <w:pStyle w:val="Fotnotetekst"/>
        <w:rPr>
          <w:lang w:val="en-GB"/>
        </w:rPr>
      </w:pPr>
      <w:r>
        <w:rPr>
          <w:rStyle w:val="Fotnotereferanse"/>
        </w:rPr>
        <w:footnoteRef/>
      </w:r>
      <w:r w:rsidRPr="00DF0106">
        <w:rPr>
          <w:lang w:val="en-GB"/>
        </w:rPr>
        <w:t xml:space="preserve"> </w:t>
      </w:r>
      <w:r w:rsidR="00E94E2F" w:rsidRPr="00E94E2F">
        <w:rPr>
          <w:lang w:val="en-GB"/>
        </w:rPr>
        <w:t>Prop.64 L (2017-2018)</w:t>
      </w:r>
      <w:r w:rsidR="00E94E2F">
        <w:rPr>
          <w:lang w:val="en-GB"/>
        </w:rPr>
        <w:t xml:space="preserve"> 3.2</w:t>
      </w:r>
      <w:r w:rsidR="003D6C7D">
        <w:rPr>
          <w:lang w:val="en-GB"/>
        </w:rPr>
        <w:t>.</w:t>
      </w:r>
    </w:p>
  </w:footnote>
  <w:footnote w:id="3">
    <w:p w14:paraId="0BF867BA" w14:textId="273ACF57" w:rsidR="00ED32E2" w:rsidRPr="00DF0106" w:rsidRDefault="00ED32E2">
      <w:pPr>
        <w:pStyle w:val="Fotnotetekst"/>
        <w:rPr>
          <w:lang w:val="en-GB"/>
        </w:rPr>
      </w:pPr>
      <w:r>
        <w:rPr>
          <w:rStyle w:val="Fotnotereferanse"/>
        </w:rPr>
        <w:footnoteRef/>
      </w:r>
      <w:r w:rsidRPr="00DF0106">
        <w:rPr>
          <w:lang w:val="en-GB"/>
        </w:rPr>
        <w:t xml:space="preserve"> Prop.64 L (2017-2018) 3.4</w:t>
      </w:r>
      <w:r w:rsidR="003D6C7D">
        <w:rPr>
          <w:lang w:val="en-GB"/>
        </w:rPr>
        <w:t>.</w:t>
      </w:r>
    </w:p>
  </w:footnote>
  <w:footnote w:id="4">
    <w:p w14:paraId="01650818" w14:textId="24312517" w:rsidR="00ED32E2" w:rsidRPr="00C41825" w:rsidRDefault="00ED32E2">
      <w:pPr>
        <w:pStyle w:val="Fotnotetekst"/>
        <w:rPr>
          <w:rFonts w:cstheme="minorHAnsi"/>
          <w:lang w:val="en-GB"/>
        </w:rPr>
      </w:pPr>
      <w:r w:rsidRPr="00CF0418">
        <w:rPr>
          <w:rStyle w:val="Fotnotereferanse"/>
          <w:rFonts w:cstheme="minorHAnsi"/>
        </w:rPr>
        <w:footnoteRef/>
      </w:r>
      <w:r w:rsidRPr="00C41825">
        <w:rPr>
          <w:rFonts w:cstheme="minorHAnsi"/>
          <w:lang w:val="en-GB"/>
        </w:rPr>
        <w:t xml:space="preserve"> Prop.64 L (2017-2018) 3.4</w:t>
      </w:r>
      <w:r w:rsidR="003D6C7D">
        <w:rPr>
          <w:rFonts w:cstheme="minorHAnsi"/>
          <w:lang w:val="en-GB"/>
        </w:rPr>
        <w:t>.</w:t>
      </w:r>
    </w:p>
  </w:footnote>
  <w:footnote w:id="5">
    <w:p w14:paraId="7A08A464" w14:textId="447D282F" w:rsidR="009C3665" w:rsidRDefault="009C3665">
      <w:pPr>
        <w:pStyle w:val="Fotnotetekst"/>
      </w:pPr>
      <w:r>
        <w:rPr>
          <w:rStyle w:val="Fotnotereferanse"/>
        </w:rPr>
        <w:footnoteRef/>
      </w:r>
      <w:r>
        <w:t xml:space="preserve"> F</w:t>
      </w:r>
      <w:r w:rsidRPr="009C3665">
        <w:t>orskrift 1. februar 2010 nr. 96 om kvalitetssikring og kvalitetsutvikling i høyere utdanning og fagskoleutdanning (studiekvalitetsforskriften)</w:t>
      </w:r>
      <w:r w:rsidR="00800AC1">
        <w:t>.</w:t>
      </w:r>
    </w:p>
  </w:footnote>
  <w:footnote w:id="6">
    <w:p w14:paraId="09149587" w14:textId="4B6E50B4" w:rsidR="00093DC6" w:rsidRPr="00CF0418" w:rsidRDefault="00093DC6">
      <w:pPr>
        <w:pStyle w:val="Fotnotetekst"/>
        <w:rPr>
          <w:rFonts w:cstheme="minorHAnsi"/>
        </w:rPr>
      </w:pPr>
      <w:r w:rsidRPr="00CF0418">
        <w:rPr>
          <w:rStyle w:val="Fotnotereferanse"/>
          <w:rFonts w:cstheme="minorHAnsi"/>
        </w:rPr>
        <w:footnoteRef/>
      </w:r>
      <w:r w:rsidRPr="00CF0418">
        <w:rPr>
          <w:rFonts w:cstheme="minorHAnsi"/>
        </w:rPr>
        <w:t xml:space="preserve"> Det bør avgjøres hvorvidt terminologien «høyere yrkesfaglig utdanning», som ble innført med den nye loven om høyere yrkesfaglig utdanning, skal benyttes konsekvent istedenfor fagskoleutdanning.</w:t>
      </w:r>
    </w:p>
  </w:footnote>
  <w:footnote w:id="7">
    <w:p w14:paraId="7674E5E8" w14:textId="77777777" w:rsidR="00ED32E2" w:rsidRPr="00CF0418" w:rsidRDefault="00ED32E2" w:rsidP="003F6117">
      <w:pPr>
        <w:pStyle w:val="Fotnotetekst"/>
        <w:rPr>
          <w:rFonts w:cstheme="minorHAnsi"/>
        </w:rPr>
      </w:pPr>
      <w:r w:rsidRPr="00CF0418">
        <w:rPr>
          <w:rStyle w:val="Fotnotereferanse"/>
          <w:rFonts w:cstheme="minorHAnsi"/>
        </w:rPr>
        <w:footnoteRef/>
      </w:r>
      <w:r w:rsidRPr="00CF0418">
        <w:rPr>
          <w:rFonts w:cstheme="minorHAnsi"/>
        </w:rPr>
        <w:t xml:space="preserve"> Lovteknikk og lovforberedelse – Veiledning om lov- og forskriftsarbeid kapittel 7.2.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5CA7"/>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8A6812"/>
    <w:multiLevelType w:val="hybridMultilevel"/>
    <w:tmpl w:val="6C6CF77E"/>
    <w:lvl w:ilvl="0" w:tplc="63B20FC0">
      <w:start w:val="1"/>
      <w:numFmt w:val="bullet"/>
      <w:lvlText w:val="-"/>
      <w:lvlJc w:val="left"/>
      <w:pPr>
        <w:tabs>
          <w:tab w:val="num" w:pos="720"/>
        </w:tabs>
        <w:ind w:left="720" w:hanging="360"/>
      </w:pPr>
      <w:rPr>
        <w:rFonts w:ascii="Calibri" w:hAnsi="Calibri" w:hint="default"/>
      </w:rPr>
    </w:lvl>
    <w:lvl w:ilvl="1" w:tplc="8B825DA2" w:tentative="1">
      <w:start w:val="1"/>
      <w:numFmt w:val="bullet"/>
      <w:lvlText w:val="-"/>
      <w:lvlJc w:val="left"/>
      <w:pPr>
        <w:tabs>
          <w:tab w:val="num" w:pos="1440"/>
        </w:tabs>
        <w:ind w:left="1440" w:hanging="360"/>
      </w:pPr>
      <w:rPr>
        <w:rFonts w:ascii="Calibri" w:hAnsi="Calibri" w:hint="default"/>
      </w:rPr>
    </w:lvl>
    <w:lvl w:ilvl="2" w:tplc="6DAE15E4" w:tentative="1">
      <w:start w:val="1"/>
      <w:numFmt w:val="bullet"/>
      <w:lvlText w:val="-"/>
      <w:lvlJc w:val="left"/>
      <w:pPr>
        <w:tabs>
          <w:tab w:val="num" w:pos="2160"/>
        </w:tabs>
        <w:ind w:left="2160" w:hanging="360"/>
      </w:pPr>
      <w:rPr>
        <w:rFonts w:ascii="Calibri" w:hAnsi="Calibri" w:hint="default"/>
      </w:rPr>
    </w:lvl>
    <w:lvl w:ilvl="3" w:tplc="1FF43CDC" w:tentative="1">
      <w:start w:val="1"/>
      <w:numFmt w:val="bullet"/>
      <w:lvlText w:val="-"/>
      <w:lvlJc w:val="left"/>
      <w:pPr>
        <w:tabs>
          <w:tab w:val="num" w:pos="2880"/>
        </w:tabs>
        <w:ind w:left="2880" w:hanging="360"/>
      </w:pPr>
      <w:rPr>
        <w:rFonts w:ascii="Calibri" w:hAnsi="Calibri" w:hint="default"/>
      </w:rPr>
    </w:lvl>
    <w:lvl w:ilvl="4" w:tplc="3A4E1D38" w:tentative="1">
      <w:start w:val="1"/>
      <w:numFmt w:val="bullet"/>
      <w:lvlText w:val="-"/>
      <w:lvlJc w:val="left"/>
      <w:pPr>
        <w:tabs>
          <w:tab w:val="num" w:pos="3600"/>
        </w:tabs>
        <w:ind w:left="3600" w:hanging="360"/>
      </w:pPr>
      <w:rPr>
        <w:rFonts w:ascii="Calibri" w:hAnsi="Calibri" w:hint="default"/>
      </w:rPr>
    </w:lvl>
    <w:lvl w:ilvl="5" w:tplc="43BC11A8" w:tentative="1">
      <w:start w:val="1"/>
      <w:numFmt w:val="bullet"/>
      <w:lvlText w:val="-"/>
      <w:lvlJc w:val="left"/>
      <w:pPr>
        <w:tabs>
          <w:tab w:val="num" w:pos="4320"/>
        </w:tabs>
        <w:ind w:left="4320" w:hanging="360"/>
      </w:pPr>
      <w:rPr>
        <w:rFonts w:ascii="Calibri" w:hAnsi="Calibri" w:hint="default"/>
      </w:rPr>
    </w:lvl>
    <w:lvl w:ilvl="6" w:tplc="DA1037D4" w:tentative="1">
      <w:start w:val="1"/>
      <w:numFmt w:val="bullet"/>
      <w:lvlText w:val="-"/>
      <w:lvlJc w:val="left"/>
      <w:pPr>
        <w:tabs>
          <w:tab w:val="num" w:pos="5040"/>
        </w:tabs>
        <w:ind w:left="5040" w:hanging="360"/>
      </w:pPr>
      <w:rPr>
        <w:rFonts w:ascii="Calibri" w:hAnsi="Calibri" w:hint="default"/>
      </w:rPr>
    </w:lvl>
    <w:lvl w:ilvl="7" w:tplc="308A8C44" w:tentative="1">
      <w:start w:val="1"/>
      <w:numFmt w:val="bullet"/>
      <w:lvlText w:val="-"/>
      <w:lvlJc w:val="left"/>
      <w:pPr>
        <w:tabs>
          <w:tab w:val="num" w:pos="5760"/>
        </w:tabs>
        <w:ind w:left="5760" w:hanging="360"/>
      </w:pPr>
      <w:rPr>
        <w:rFonts w:ascii="Calibri" w:hAnsi="Calibri" w:hint="default"/>
      </w:rPr>
    </w:lvl>
    <w:lvl w:ilvl="8" w:tplc="718EB88A"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278D0EBE"/>
    <w:multiLevelType w:val="hybridMultilevel"/>
    <w:tmpl w:val="5086761C"/>
    <w:lvl w:ilvl="0" w:tplc="262CBDA0">
      <w:numFmt w:val="bullet"/>
      <w:lvlText w:val="-"/>
      <w:lvlJc w:val="left"/>
      <w:pPr>
        <w:ind w:left="1068" w:hanging="360"/>
      </w:pPr>
      <w:rPr>
        <w:rFonts w:ascii="Calibri Light" w:eastAsia="Times New Roman" w:hAnsi="Calibri Light" w:cs="Calibri Light"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15:restartNumberingAfterBreak="0">
    <w:nsid w:val="34625703"/>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15207F"/>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82D6023"/>
    <w:multiLevelType w:val="hybridMultilevel"/>
    <w:tmpl w:val="7F7051A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D6B02F2"/>
    <w:multiLevelType w:val="hybridMultilevel"/>
    <w:tmpl w:val="4F74761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EAB76CA"/>
    <w:multiLevelType w:val="hybridMultilevel"/>
    <w:tmpl w:val="EFE85E3C"/>
    <w:lvl w:ilvl="0" w:tplc="01B4C96A">
      <w:start w:val="1"/>
      <w:numFmt w:val="bullet"/>
      <w:lvlText w:val="-"/>
      <w:lvlJc w:val="left"/>
      <w:pPr>
        <w:ind w:left="720" w:hanging="360"/>
      </w:pPr>
      <w:rPr>
        <w:rFonts w:ascii="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8661A10"/>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20685E"/>
    <w:multiLevelType w:val="hybridMultilevel"/>
    <w:tmpl w:val="B4E2ECA8"/>
    <w:lvl w:ilvl="0" w:tplc="35CA0150">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18958FC"/>
    <w:multiLevelType w:val="hybridMultilevel"/>
    <w:tmpl w:val="34CE2248"/>
    <w:lvl w:ilvl="0" w:tplc="89445728">
      <w:start w:val="3"/>
      <w:numFmt w:val="bullet"/>
      <w:lvlText w:val="-"/>
      <w:lvlJc w:val="left"/>
      <w:pPr>
        <w:ind w:left="720" w:hanging="360"/>
      </w:pPr>
      <w:rPr>
        <w:rFonts w:ascii="Helvetica" w:eastAsia="Times New Roman" w:hAnsi="Helvetic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3DA48B2"/>
    <w:multiLevelType w:val="hybridMultilevel"/>
    <w:tmpl w:val="2F02EE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5"/>
  </w:num>
  <w:num w:numId="5">
    <w:abstractNumId w:val="2"/>
  </w:num>
  <w:num w:numId="6">
    <w:abstractNumId w:val="9"/>
  </w:num>
  <w:num w:numId="7">
    <w:abstractNumId w:val="0"/>
  </w:num>
  <w:num w:numId="8">
    <w:abstractNumId w:val="11"/>
  </w:num>
  <w:num w:numId="9">
    <w:abstractNumId w:val="4"/>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101"/>
    <w:rsid w:val="000034CC"/>
    <w:rsid w:val="00003E95"/>
    <w:rsid w:val="000061F6"/>
    <w:rsid w:val="000065AE"/>
    <w:rsid w:val="0001634C"/>
    <w:rsid w:val="00016ED5"/>
    <w:rsid w:val="00023495"/>
    <w:rsid w:val="000254A5"/>
    <w:rsid w:val="000319CB"/>
    <w:rsid w:val="00031E77"/>
    <w:rsid w:val="000352E1"/>
    <w:rsid w:val="00037171"/>
    <w:rsid w:val="0004354E"/>
    <w:rsid w:val="000545BC"/>
    <w:rsid w:val="000561E3"/>
    <w:rsid w:val="00076A11"/>
    <w:rsid w:val="00077DA0"/>
    <w:rsid w:val="00080996"/>
    <w:rsid w:val="00081451"/>
    <w:rsid w:val="00083EDE"/>
    <w:rsid w:val="00085887"/>
    <w:rsid w:val="00093DC6"/>
    <w:rsid w:val="000A2237"/>
    <w:rsid w:val="000A64E3"/>
    <w:rsid w:val="000B2610"/>
    <w:rsid w:val="000B3FFA"/>
    <w:rsid w:val="000C3B89"/>
    <w:rsid w:val="000C3F4A"/>
    <w:rsid w:val="000C6434"/>
    <w:rsid w:val="000D1E55"/>
    <w:rsid w:val="000D1FEF"/>
    <w:rsid w:val="000D34ED"/>
    <w:rsid w:val="000D5561"/>
    <w:rsid w:val="000E0C8B"/>
    <w:rsid w:val="000F7D5B"/>
    <w:rsid w:val="0010041E"/>
    <w:rsid w:val="00100F67"/>
    <w:rsid w:val="00102B52"/>
    <w:rsid w:val="00104339"/>
    <w:rsid w:val="001056AC"/>
    <w:rsid w:val="00107DEF"/>
    <w:rsid w:val="00117E44"/>
    <w:rsid w:val="00117E91"/>
    <w:rsid w:val="00117F9F"/>
    <w:rsid w:val="0012671D"/>
    <w:rsid w:val="00127E5A"/>
    <w:rsid w:val="001311A8"/>
    <w:rsid w:val="00137A0C"/>
    <w:rsid w:val="0014245F"/>
    <w:rsid w:val="00147310"/>
    <w:rsid w:val="00152245"/>
    <w:rsid w:val="00153ED1"/>
    <w:rsid w:val="00156FC5"/>
    <w:rsid w:val="001709D7"/>
    <w:rsid w:val="001718FC"/>
    <w:rsid w:val="00177B8D"/>
    <w:rsid w:val="00180C99"/>
    <w:rsid w:val="00192065"/>
    <w:rsid w:val="001A09F7"/>
    <w:rsid w:val="001A19DC"/>
    <w:rsid w:val="001A7159"/>
    <w:rsid w:val="001A7CCC"/>
    <w:rsid w:val="001B0167"/>
    <w:rsid w:val="001B38F0"/>
    <w:rsid w:val="001C3FAC"/>
    <w:rsid w:val="001D3C65"/>
    <w:rsid w:val="001E3E7E"/>
    <w:rsid w:val="001E5373"/>
    <w:rsid w:val="001E7C99"/>
    <w:rsid w:val="001F1745"/>
    <w:rsid w:val="001F58A6"/>
    <w:rsid w:val="001F58D8"/>
    <w:rsid w:val="00204C01"/>
    <w:rsid w:val="00205170"/>
    <w:rsid w:val="00211E10"/>
    <w:rsid w:val="00213204"/>
    <w:rsid w:val="00254B3F"/>
    <w:rsid w:val="00261656"/>
    <w:rsid w:val="002675A7"/>
    <w:rsid w:val="002700BB"/>
    <w:rsid w:val="0027247C"/>
    <w:rsid w:val="002732DA"/>
    <w:rsid w:val="002740AF"/>
    <w:rsid w:val="00280EF6"/>
    <w:rsid w:val="002878EE"/>
    <w:rsid w:val="00287994"/>
    <w:rsid w:val="0029022D"/>
    <w:rsid w:val="00290F13"/>
    <w:rsid w:val="00293365"/>
    <w:rsid w:val="00295795"/>
    <w:rsid w:val="002A0DA9"/>
    <w:rsid w:val="002A32F7"/>
    <w:rsid w:val="002A37D0"/>
    <w:rsid w:val="002A39CD"/>
    <w:rsid w:val="002A5D79"/>
    <w:rsid w:val="002A732E"/>
    <w:rsid w:val="002B0404"/>
    <w:rsid w:val="002B08A9"/>
    <w:rsid w:val="002B3224"/>
    <w:rsid w:val="002B52C5"/>
    <w:rsid w:val="002C12F1"/>
    <w:rsid w:val="002C4452"/>
    <w:rsid w:val="002C6083"/>
    <w:rsid w:val="002D04FF"/>
    <w:rsid w:val="002D1A8C"/>
    <w:rsid w:val="002D329E"/>
    <w:rsid w:val="002D4C2B"/>
    <w:rsid w:val="002D714C"/>
    <w:rsid w:val="002D7207"/>
    <w:rsid w:val="002F0AE1"/>
    <w:rsid w:val="002F37CD"/>
    <w:rsid w:val="002F44B8"/>
    <w:rsid w:val="003066F7"/>
    <w:rsid w:val="00311A51"/>
    <w:rsid w:val="0032586D"/>
    <w:rsid w:val="0033099B"/>
    <w:rsid w:val="00333637"/>
    <w:rsid w:val="00340220"/>
    <w:rsid w:val="00340236"/>
    <w:rsid w:val="0034466B"/>
    <w:rsid w:val="00350864"/>
    <w:rsid w:val="00352573"/>
    <w:rsid w:val="003555BB"/>
    <w:rsid w:val="00355823"/>
    <w:rsid w:val="00361319"/>
    <w:rsid w:val="0036721E"/>
    <w:rsid w:val="00377A7C"/>
    <w:rsid w:val="003859B7"/>
    <w:rsid w:val="00387192"/>
    <w:rsid w:val="003965D2"/>
    <w:rsid w:val="00397549"/>
    <w:rsid w:val="003977B6"/>
    <w:rsid w:val="003A122B"/>
    <w:rsid w:val="003A17B6"/>
    <w:rsid w:val="003A6080"/>
    <w:rsid w:val="003B3C0E"/>
    <w:rsid w:val="003C05FE"/>
    <w:rsid w:val="003C1384"/>
    <w:rsid w:val="003D1DDA"/>
    <w:rsid w:val="003D2BD9"/>
    <w:rsid w:val="003D2C32"/>
    <w:rsid w:val="003D3649"/>
    <w:rsid w:val="003D531B"/>
    <w:rsid w:val="003D6C7D"/>
    <w:rsid w:val="003E057E"/>
    <w:rsid w:val="003E3529"/>
    <w:rsid w:val="003E56B2"/>
    <w:rsid w:val="003F28C3"/>
    <w:rsid w:val="003F4929"/>
    <w:rsid w:val="003F6117"/>
    <w:rsid w:val="003F67AF"/>
    <w:rsid w:val="003F7E7E"/>
    <w:rsid w:val="00402D8F"/>
    <w:rsid w:val="0040303B"/>
    <w:rsid w:val="00403E1C"/>
    <w:rsid w:val="004056CB"/>
    <w:rsid w:val="00407B1F"/>
    <w:rsid w:val="00407C17"/>
    <w:rsid w:val="00421640"/>
    <w:rsid w:val="0042317E"/>
    <w:rsid w:val="004233A8"/>
    <w:rsid w:val="00432BF6"/>
    <w:rsid w:val="00433AC8"/>
    <w:rsid w:val="00435B3A"/>
    <w:rsid w:val="0044189E"/>
    <w:rsid w:val="004555B5"/>
    <w:rsid w:val="00465D56"/>
    <w:rsid w:val="00465E89"/>
    <w:rsid w:val="004670A8"/>
    <w:rsid w:val="0046720E"/>
    <w:rsid w:val="004742FB"/>
    <w:rsid w:val="00475A17"/>
    <w:rsid w:val="00476DD2"/>
    <w:rsid w:val="00482D64"/>
    <w:rsid w:val="00486EA0"/>
    <w:rsid w:val="004931FA"/>
    <w:rsid w:val="004974D7"/>
    <w:rsid w:val="004A04CF"/>
    <w:rsid w:val="004A2842"/>
    <w:rsid w:val="004A5BC6"/>
    <w:rsid w:val="004B08C5"/>
    <w:rsid w:val="004C0F6E"/>
    <w:rsid w:val="004D5B11"/>
    <w:rsid w:val="004D5BBE"/>
    <w:rsid w:val="004D69ED"/>
    <w:rsid w:val="004D7186"/>
    <w:rsid w:val="004E7BBE"/>
    <w:rsid w:val="004F0770"/>
    <w:rsid w:val="004F10FD"/>
    <w:rsid w:val="004F6DC1"/>
    <w:rsid w:val="00502537"/>
    <w:rsid w:val="00506E22"/>
    <w:rsid w:val="005078D3"/>
    <w:rsid w:val="00507ED5"/>
    <w:rsid w:val="005212EF"/>
    <w:rsid w:val="00522F83"/>
    <w:rsid w:val="0052456A"/>
    <w:rsid w:val="00526A63"/>
    <w:rsid w:val="00533EA0"/>
    <w:rsid w:val="00535F00"/>
    <w:rsid w:val="005435ED"/>
    <w:rsid w:val="005444CF"/>
    <w:rsid w:val="005512B1"/>
    <w:rsid w:val="00557770"/>
    <w:rsid w:val="005636F7"/>
    <w:rsid w:val="005677FE"/>
    <w:rsid w:val="005719FF"/>
    <w:rsid w:val="00572874"/>
    <w:rsid w:val="005851FA"/>
    <w:rsid w:val="0058684E"/>
    <w:rsid w:val="00592C4F"/>
    <w:rsid w:val="005939A4"/>
    <w:rsid w:val="005947C5"/>
    <w:rsid w:val="00595BB4"/>
    <w:rsid w:val="005A210D"/>
    <w:rsid w:val="005A45E1"/>
    <w:rsid w:val="005A6A51"/>
    <w:rsid w:val="005B215A"/>
    <w:rsid w:val="005B2495"/>
    <w:rsid w:val="005B3764"/>
    <w:rsid w:val="005C0B94"/>
    <w:rsid w:val="005C35B4"/>
    <w:rsid w:val="005C557E"/>
    <w:rsid w:val="005C6324"/>
    <w:rsid w:val="005D08A5"/>
    <w:rsid w:val="005D0FC4"/>
    <w:rsid w:val="005D2021"/>
    <w:rsid w:val="005D3420"/>
    <w:rsid w:val="005D73C6"/>
    <w:rsid w:val="005E1DB4"/>
    <w:rsid w:val="005E28E4"/>
    <w:rsid w:val="005E3C71"/>
    <w:rsid w:val="005E462D"/>
    <w:rsid w:val="005F19CB"/>
    <w:rsid w:val="005F5C17"/>
    <w:rsid w:val="0060008D"/>
    <w:rsid w:val="00603090"/>
    <w:rsid w:val="00605E7D"/>
    <w:rsid w:val="00607E45"/>
    <w:rsid w:val="0061147B"/>
    <w:rsid w:val="006132F0"/>
    <w:rsid w:val="006144D1"/>
    <w:rsid w:val="0062021C"/>
    <w:rsid w:val="00625147"/>
    <w:rsid w:val="00625F8E"/>
    <w:rsid w:val="00650B3F"/>
    <w:rsid w:val="0065207C"/>
    <w:rsid w:val="00654DE8"/>
    <w:rsid w:val="00657183"/>
    <w:rsid w:val="00670518"/>
    <w:rsid w:val="00673BFE"/>
    <w:rsid w:val="00677B81"/>
    <w:rsid w:val="00682EE1"/>
    <w:rsid w:val="006866FC"/>
    <w:rsid w:val="00692D15"/>
    <w:rsid w:val="00694296"/>
    <w:rsid w:val="006A00DA"/>
    <w:rsid w:val="006A6285"/>
    <w:rsid w:val="006C1154"/>
    <w:rsid w:val="006C383A"/>
    <w:rsid w:val="006C62A7"/>
    <w:rsid w:val="006C65B6"/>
    <w:rsid w:val="006C7EA0"/>
    <w:rsid w:val="006E6871"/>
    <w:rsid w:val="006F61A4"/>
    <w:rsid w:val="007058C5"/>
    <w:rsid w:val="007129D6"/>
    <w:rsid w:val="00713733"/>
    <w:rsid w:val="007158AE"/>
    <w:rsid w:val="00715E01"/>
    <w:rsid w:val="00716EAA"/>
    <w:rsid w:val="00727910"/>
    <w:rsid w:val="00732C09"/>
    <w:rsid w:val="00735805"/>
    <w:rsid w:val="00740770"/>
    <w:rsid w:val="00750854"/>
    <w:rsid w:val="00751F15"/>
    <w:rsid w:val="00754B88"/>
    <w:rsid w:val="00757423"/>
    <w:rsid w:val="0076787F"/>
    <w:rsid w:val="007706A3"/>
    <w:rsid w:val="0077293C"/>
    <w:rsid w:val="00785FA4"/>
    <w:rsid w:val="0079178F"/>
    <w:rsid w:val="00791EB9"/>
    <w:rsid w:val="007A57CD"/>
    <w:rsid w:val="007A60C9"/>
    <w:rsid w:val="007B1B4F"/>
    <w:rsid w:val="007C27EA"/>
    <w:rsid w:val="007C4CDC"/>
    <w:rsid w:val="007D2281"/>
    <w:rsid w:val="007D3908"/>
    <w:rsid w:val="007D39D7"/>
    <w:rsid w:val="007E1FAC"/>
    <w:rsid w:val="007E3090"/>
    <w:rsid w:val="007E4E70"/>
    <w:rsid w:val="007F0DBD"/>
    <w:rsid w:val="007F1C86"/>
    <w:rsid w:val="007F3C89"/>
    <w:rsid w:val="007F6056"/>
    <w:rsid w:val="00800AC1"/>
    <w:rsid w:val="008020E2"/>
    <w:rsid w:val="00811E5E"/>
    <w:rsid w:val="0082523B"/>
    <w:rsid w:val="00833344"/>
    <w:rsid w:val="00840DB6"/>
    <w:rsid w:val="00841986"/>
    <w:rsid w:val="00844FBA"/>
    <w:rsid w:val="00847273"/>
    <w:rsid w:val="00851F3C"/>
    <w:rsid w:val="00853BE7"/>
    <w:rsid w:val="0085502D"/>
    <w:rsid w:val="00861787"/>
    <w:rsid w:val="00861AF5"/>
    <w:rsid w:val="00867983"/>
    <w:rsid w:val="00877384"/>
    <w:rsid w:val="00882E49"/>
    <w:rsid w:val="0089217A"/>
    <w:rsid w:val="00893BE2"/>
    <w:rsid w:val="00895CA3"/>
    <w:rsid w:val="0089691F"/>
    <w:rsid w:val="008A30C9"/>
    <w:rsid w:val="008A50C2"/>
    <w:rsid w:val="008D04ED"/>
    <w:rsid w:val="008E0987"/>
    <w:rsid w:val="008E0E30"/>
    <w:rsid w:val="008E28A0"/>
    <w:rsid w:val="008E4F11"/>
    <w:rsid w:val="008E541B"/>
    <w:rsid w:val="008F6EB5"/>
    <w:rsid w:val="00904276"/>
    <w:rsid w:val="009053D1"/>
    <w:rsid w:val="00906DC9"/>
    <w:rsid w:val="00915131"/>
    <w:rsid w:val="009154FF"/>
    <w:rsid w:val="0091683E"/>
    <w:rsid w:val="00920ABA"/>
    <w:rsid w:val="00924802"/>
    <w:rsid w:val="00927DBA"/>
    <w:rsid w:val="00942A2F"/>
    <w:rsid w:val="00946C41"/>
    <w:rsid w:val="00946E54"/>
    <w:rsid w:val="00947318"/>
    <w:rsid w:val="00952720"/>
    <w:rsid w:val="00953AB8"/>
    <w:rsid w:val="00962565"/>
    <w:rsid w:val="00965A1A"/>
    <w:rsid w:val="0096731B"/>
    <w:rsid w:val="00971682"/>
    <w:rsid w:val="00972D82"/>
    <w:rsid w:val="00973536"/>
    <w:rsid w:val="009A08F2"/>
    <w:rsid w:val="009A3064"/>
    <w:rsid w:val="009A379A"/>
    <w:rsid w:val="009B0B07"/>
    <w:rsid w:val="009B3ED5"/>
    <w:rsid w:val="009B4031"/>
    <w:rsid w:val="009C1C60"/>
    <w:rsid w:val="009C3665"/>
    <w:rsid w:val="009C5562"/>
    <w:rsid w:val="009C5BD3"/>
    <w:rsid w:val="009D014A"/>
    <w:rsid w:val="009D6289"/>
    <w:rsid w:val="009E37D8"/>
    <w:rsid w:val="009E6BFA"/>
    <w:rsid w:val="009E7981"/>
    <w:rsid w:val="009F1411"/>
    <w:rsid w:val="009F76AA"/>
    <w:rsid w:val="00A018B9"/>
    <w:rsid w:val="00A01EA5"/>
    <w:rsid w:val="00A15B88"/>
    <w:rsid w:val="00A16F06"/>
    <w:rsid w:val="00A21009"/>
    <w:rsid w:val="00A229D6"/>
    <w:rsid w:val="00A32665"/>
    <w:rsid w:val="00A32C02"/>
    <w:rsid w:val="00A36AE9"/>
    <w:rsid w:val="00A43892"/>
    <w:rsid w:val="00A459E6"/>
    <w:rsid w:val="00A45C9E"/>
    <w:rsid w:val="00A50580"/>
    <w:rsid w:val="00A60963"/>
    <w:rsid w:val="00A60A21"/>
    <w:rsid w:val="00A70ADA"/>
    <w:rsid w:val="00A7197B"/>
    <w:rsid w:val="00A71C1E"/>
    <w:rsid w:val="00A73588"/>
    <w:rsid w:val="00A76DF8"/>
    <w:rsid w:val="00A820B9"/>
    <w:rsid w:val="00A84259"/>
    <w:rsid w:val="00A869F4"/>
    <w:rsid w:val="00A90156"/>
    <w:rsid w:val="00A9766C"/>
    <w:rsid w:val="00AA3AAA"/>
    <w:rsid w:val="00AB24E4"/>
    <w:rsid w:val="00AB3902"/>
    <w:rsid w:val="00AB55BB"/>
    <w:rsid w:val="00AC7F64"/>
    <w:rsid w:val="00AD0FEF"/>
    <w:rsid w:val="00AD187A"/>
    <w:rsid w:val="00AE2E27"/>
    <w:rsid w:val="00AF2AD4"/>
    <w:rsid w:val="00AF3946"/>
    <w:rsid w:val="00B130ED"/>
    <w:rsid w:val="00B14871"/>
    <w:rsid w:val="00B17947"/>
    <w:rsid w:val="00B17C9A"/>
    <w:rsid w:val="00B25C8D"/>
    <w:rsid w:val="00B27256"/>
    <w:rsid w:val="00B31FDC"/>
    <w:rsid w:val="00B41E10"/>
    <w:rsid w:val="00B45EBC"/>
    <w:rsid w:val="00B519B4"/>
    <w:rsid w:val="00B52578"/>
    <w:rsid w:val="00B565B4"/>
    <w:rsid w:val="00B60FD2"/>
    <w:rsid w:val="00B6256F"/>
    <w:rsid w:val="00B766D5"/>
    <w:rsid w:val="00B841DA"/>
    <w:rsid w:val="00B90EEE"/>
    <w:rsid w:val="00B947D5"/>
    <w:rsid w:val="00B94B65"/>
    <w:rsid w:val="00BA24FF"/>
    <w:rsid w:val="00BA31D0"/>
    <w:rsid w:val="00BA4B88"/>
    <w:rsid w:val="00BA6F0F"/>
    <w:rsid w:val="00BA7787"/>
    <w:rsid w:val="00BB213B"/>
    <w:rsid w:val="00BB3DA3"/>
    <w:rsid w:val="00BB4DBD"/>
    <w:rsid w:val="00BC2FF2"/>
    <w:rsid w:val="00BC33B0"/>
    <w:rsid w:val="00BC53CA"/>
    <w:rsid w:val="00BD5070"/>
    <w:rsid w:val="00BE0055"/>
    <w:rsid w:val="00BE3D04"/>
    <w:rsid w:val="00BE402B"/>
    <w:rsid w:val="00BE554A"/>
    <w:rsid w:val="00BF0E54"/>
    <w:rsid w:val="00C0033B"/>
    <w:rsid w:val="00C0599A"/>
    <w:rsid w:val="00C10781"/>
    <w:rsid w:val="00C11E42"/>
    <w:rsid w:val="00C1380B"/>
    <w:rsid w:val="00C405F9"/>
    <w:rsid w:val="00C41825"/>
    <w:rsid w:val="00C42C9B"/>
    <w:rsid w:val="00C4452C"/>
    <w:rsid w:val="00C45EEB"/>
    <w:rsid w:val="00C46214"/>
    <w:rsid w:val="00C46649"/>
    <w:rsid w:val="00C5015E"/>
    <w:rsid w:val="00C64259"/>
    <w:rsid w:val="00C64666"/>
    <w:rsid w:val="00C6787A"/>
    <w:rsid w:val="00C67E01"/>
    <w:rsid w:val="00C73C97"/>
    <w:rsid w:val="00C74003"/>
    <w:rsid w:val="00C7601E"/>
    <w:rsid w:val="00C76C3C"/>
    <w:rsid w:val="00C81DC6"/>
    <w:rsid w:val="00C933CF"/>
    <w:rsid w:val="00C952AE"/>
    <w:rsid w:val="00CA6305"/>
    <w:rsid w:val="00CA7587"/>
    <w:rsid w:val="00CB6FA9"/>
    <w:rsid w:val="00CC301E"/>
    <w:rsid w:val="00CC4B34"/>
    <w:rsid w:val="00CD4AE0"/>
    <w:rsid w:val="00CD7018"/>
    <w:rsid w:val="00CD7769"/>
    <w:rsid w:val="00CE1400"/>
    <w:rsid w:val="00CE1F59"/>
    <w:rsid w:val="00CE2D35"/>
    <w:rsid w:val="00CF0418"/>
    <w:rsid w:val="00CF0A1A"/>
    <w:rsid w:val="00CF25E6"/>
    <w:rsid w:val="00D115A3"/>
    <w:rsid w:val="00D145DF"/>
    <w:rsid w:val="00D16D0A"/>
    <w:rsid w:val="00D175E4"/>
    <w:rsid w:val="00D22780"/>
    <w:rsid w:val="00D26DC6"/>
    <w:rsid w:val="00D3138F"/>
    <w:rsid w:val="00D37EAE"/>
    <w:rsid w:val="00D52309"/>
    <w:rsid w:val="00D52685"/>
    <w:rsid w:val="00D52F09"/>
    <w:rsid w:val="00D53CA6"/>
    <w:rsid w:val="00D55B51"/>
    <w:rsid w:val="00D7201F"/>
    <w:rsid w:val="00D75479"/>
    <w:rsid w:val="00D76D2D"/>
    <w:rsid w:val="00D80703"/>
    <w:rsid w:val="00D84094"/>
    <w:rsid w:val="00D863B8"/>
    <w:rsid w:val="00D879D3"/>
    <w:rsid w:val="00D92506"/>
    <w:rsid w:val="00D9736E"/>
    <w:rsid w:val="00D974AA"/>
    <w:rsid w:val="00DA23EC"/>
    <w:rsid w:val="00DA255F"/>
    <w:rsid w:val="00DA40BB"/>
    <w:rsid w:val="00DA55DB"/>
    <w:rsid w:val="00DA7989"/>
    <w:rsid w:val="00DB3101"/>
    <w:rsid w:val="00DB5F20"/>
    <w:rsid w:val="00DB6413"/>
    <w:rsid w:val="00DB6D2A"/>
    <w:rsid w:val="00DC0C32"/>
    <w:rsid w:val="00DC3213"/>
    <w:rsid w:val="00DC545F"/>
    <w:rsid w:val="00DD40FA"/>
    <w:rsid w:val="00DE01FF"/>
    <w:rsid w:val="00DF0106"/>
    <w:rsid w:val="00DF1211"/>
    <w:rsid w:val="00DF5AA6"/>
    <w:rsid w:val="00E0087C"/>
    <w:rsid w:val="00E00CEE"/>
    <w:rsid w:val="00E02BE8"/>
    <w:rsid w:val="00E04033"/>
    <w:rsid w:val="00E12220"/>
    <w:rsid w:val="00E14D8A"/>
    <w:rsid w:val="00E15ECC"/>
    <w:rsid w:val="00E23856"/>
    <w:rsid w:val="00E24535"/>
    <w:rsid w:val="00E25272"/>
    <w:rsid w:val="00E30098"/>
    <w:rsid w:val="00E46956"/>
    <w:rsid w:val="00E506CE"/>
    <w:rsid w:val="00E60C8A"/>
    <w:rsid w:val="00E66DE8"/>
    <w:rsid w:val="00E67581"/>
    <w:rsid w:val="00E70212"/>
    <w:rsid w:val="00E753BC"/>
    <w:rsid w:val="00E76351"/>
    <w:rsid w:val="00E80407"/>
    <w:rsid w:val="00E80740"/>
    <w:rsid w:val="00E8222D"/>
    <w:rsid w:val="00E847C4"/>
    <w:rsid w:val="00E85160"/>
    <w:rsid w:val="00E8682F"/>
    <w:rsid w:val="00E8702B"/>
    <w:rsid w:val="00E8722D"/>
    <w:rsid w:val="00E94E2F"/>
    <w:rsid w:val="00EA2F53"/>
    <w:rsid w:val="00EA40D5"/>
    <w:rsid w:val="00EA6A0D"/>
    <w:rsid w:val="00EB0485"/>
    <w:rsid w:val="00EB7DE5"/>
    <w:rsid w:val="00EC0CFD"/>
    <w:rsid w:val="00EC6037"/>
    <w:rsid w:val="00EC67C6"/>
    <w:rsid w:val="00ED2367"/>
    <w:rsid w:val="00ED32E2"/>
    <w:rsid w:val="00EE1C71"/>
    <w:rsid w:val="00EE3908"/>
    <w:rsid w:val="00EF0CF3"/>
    <w:rsid w:val="00EF3FD2"/>
    <w:rsid w:val="00EF4091"/>
    <w:rsid w:val="00EF4208"/>
    <w:rsid w:val="00EF4A40"/>
    <w:rsid w:val="00F00D58"/>
    <w:rsid w:val="00F06E7A"/>
    <w:rsid w:val="00F1158C"/>
    <w:rsid w:val="00F1397C"/>
    <w:rsid w:val="00F144C1"/>
    <w:rsid w:val="00F16008"/>
    <w:rsid w:val="00F22E68"/>
    <w:rsid w:val="00F25E5D"/>
    <w:rsid w:val="00F3444A"/>
    <w:rsid w:val="00F36849"/>
    <w:rsid w:val="00F36CA6"/>
    <w:rsid w:val="00F453BB"/>
    <w:rsid w:val="00F501FA"/>
    <w:rsid w:val="00F502B7"/>
    <w:rsid w:val="00F55CC4"/>
    <w:rsid w:val="00F5735D"/>
    <w:rsid w:val="00F617BE"/>
    <w:rsid w:val="00F61F7D"/>
    <w:rsid w:val="00F64AC5"/>
    <w:rsid w:val="00F65416"/>
    <w:rsid w:val="00F7215A"/>
    <w:rsid w:val="00F740A5"/>
    <w:rsid w:val="00F76B2F"/>
    <w:rsid w:val="00F76F93"/>
    <w:rsid w:val="00F822DC"/>
    <w:rsid w:val="00F84CE5"/>
    <w:rsid w:val="00F8737F"/>
    <w:rsid w:val="00F87E8B"/>
    <w:rsid w:val="00F90611"/>
    <w:rsid w:val="00F91435"/>
    <w:rsid w:val="00F97923"/>
    <w:rsid w:val="00FA1843"/>
    <w:rsid w:val="00FA1BD2"/>
    <w:rsid w:val="00FA74B3"/>
    <w:rsid w:val="00FB2605"/>
    <w:rsid w:val="00FB7C80"/>
    <w:rsid w:val="00FC0548"/>
    <w:rsid w:val="00FC13BA"/>
    <w:rsid w:val="00FC464E"/>
    <w:rsid w:val="00FC5EA6"/>
    <w:rsid w:val="00FD19CB"/>
    <w:rsid w:val="00FE2A3C"/>
    <w:rsid w:val="00FE5017"/>
    <w:rsid w:val="00FE53D7"/>
    <w:rsid w:val="00FF2C24"/>
    <w:rsid w:val="00FF455E"/>
    <w:rsid w:val="00FF5A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FDC69"/>
  <w15:chartTrackingRefBased/>
  <w15:docId w15:val="{BE5D0539-DEA0-4153-BB60-9822329D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D5B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DB3101"/>
    <w:rPr>
      <w:color w:val="0000FF"/>
      <w:u w:val="single"/>
    </w:rPr>
  </w:style>
  <w:style w:type="character" w:styleId="Utheving">
    <w:name w:val="Emphasis"/>
    <w:basedOn w:val="Standardskriftforavsnitt"/>
    <w:uiPriority w:val="20"/>
    <w:qFormat/>
    <w:rsid w:val="00DB3101"/>
    <w:rPr>
      <w:i/>
      <w:iCs/>
    </w:rPr>
  </w:style>
  <w:style w:type="paragraph" w:customStyle="1" w:styleId="mortagm7">
    <w:name w:val="mortag_m7"/>
    <w:basedOn w:val="Normal"/>
    <w:rsid w:val="00DB3101"/>
    <w:pPr>
      <w:spacing w:after="0"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3D1DD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D1DDA"/>
  </w:style>
  <w:style w:type="paragraph" w:styleId="Bunntekst">
    <w:name w:val="footer"/>
    <w:basedOn w:val="Normal"/>
    <w:link w:val="BunntekstTegn"/>
    <w:uiPriority w:val="99"/>
    <w:unhideWhenUsed/>
    <w:rsid w:val="003D1DD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D1DDA"/>
  </w:style>
  <w:style w:type="character" w:styleId="Merknadsreferanse">
    <w:name w:val="annotation reference"/>
    <w:basedOn w:val="Standardskriftforavsnitt"/>
    <w:uiPriority w:val="99"/>
    <w:semiHidden/>
    <w:unhideWhenUsed/>
    <w:rsid w:val="003D1DDA"/>
    <w:rPr>
      <w:sz w:val="16"/>
      <w:szCs w:val="16"/>
    </w:rPr>
  </w:style>
  <w:style w:type="paragraph" w:styleId="Merknadstekst">
    <w:name w:val="annotation text"/>
    <w:basedOn w:val="Normal"/>
    <w:link w:val="MerknadstekstTegn"/>
    <w:uiPriority w:val="99"/>
    <w:semiHidden/>
    <w:unhideWhenUsed/>
    <w:rsid w:val="003D1DD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D1DDA"/>
    <w:rPr>
      <w:sz w:val="20"/>
      <w:szCs w:val="20"/>
    </w:rPr>
  </w:style>
  <w:style w:type="paragraph" w:styleId="Kommentaremne">
    <w:name w:val="annotation subject"/>
    <w:basedOn w:val="Merknadstekst"/>
    <w:next w:val="Merknadstekst"/>
    <w:link w:val="KommentaremneTegn"/>
    <w:uiPriority w:val="99"/>
    <w:semiHidden/>
    <w:unhideWhenUsed/>
    <w:rsid w:val="003D1DDA"/>
    <w:rPr>
      <w:b/>
      <w:bCs/>
    </w:rPr>
  </w:style>
  <w:style w:type="character" w:customStyle="1" w:styleId="KommentaremneTegn">
    <w:name w:val="Kommentaremne Tegn"/>
    <w:basedOn w:val="MerknadstekstTegn"/>
    <w:link w:val="Kommentaremne"/>
    <w:uiPriority w:val="99"/>
    <w:semiHidden/>
    <w:rsid w:val="003D1DDA"/>
    <w:rPr>
      <w:b/>
      <w:bCs/>
      <w:sz w:val="20"/>
      <w:szCs w:val="20"/>
    </w:rPr>
  </w:style>
  <w:style w:type="paragraph" w:styleId="Bobletekst">
    <w:name w:val="Balloon Text"/>
    <w:basedOn w:val="Normal"/>
    <w:link w:val="BobletekstTegn"/>
    <w:uiPriority w:val="99"/>
    <w:semiHidden/>
    <w:unhideWhenUsed/>
    <w:rsid w:val="003D1DD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D1DDA"/>
    <w:rPr>
      <w:rFonts w:ascii="Segoe UI" w:hAnsi="Segoe UI" w:cs="Segoe UI"/>
      <w:sz w:val="18"/>
      <w:szCs w:val="18"/>
    </w:rPr>
  </w:style>
  <w:style w:type="paragraph" w:styleId="Listeavsnitt">
    <w:name w:val="List Paragraph"/>
    <w:basedOn w:val="Normal"/>
    <w:uiPriority w:val="34"/>
    <w:qFormat/>
    <w:rsid w:val="003D1DDA"/>
    <w:pPr>
      <w:ind w:left="720"/>
      <w:contextualSpacing/>
    </w:pPr>
  </w:style>
  <w:style w:type="character" w:styleId="Sterk">
    <w:name w:val="Strong"/>
    <w:basedOn w:val="Standardskriftforavsnitt"/>
    <w:uiPriority w:val="22"/>
    <w:qFormat/>
    <w:rsid w:val="002D1A8C"/>
    <w:rPr>
      <w:b/>
      <w:bCs/>
    </w:rPr>
  </w:style>
  <w:style w:type="character" w:customStyle="1" w:styleId="Overskrift1Tegn">
    <w:name w:val="Overskrift 1 Tegn"/>
    <w:basedOn w:val="Standardskriftforavsnitt"/>
    <w:link w:val="Overskrift1"/>
    <w:uiPriority w:val="9"/>
    <w:rsid w:val="004D5B1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4D5B11"/>
    <w:pPr>
      <w:outlineLvl w:val="9"/>
    </w:pPr>
    <w:rPr>
      <w:lang w:eastAsia="nb-NO"/>
    </w:rPr>
  </w:style>
  <w:style w:type="paragraph" w:styleId="INNH1">
    <w:name w:val="toc 1"/>
    <w:basedOn w:val="Normal"/>
    <w:next w:val="Normal"/>
    <w:autoRedefine/>
    <w:uiPriority w:val="39"/>
    <w:unhideWhenUsed/>
    <w:rsid w:val="00080996"/>
    <w:pPr>
      <w:spacing w:after="100"/>
    </w:pPr>
  </w:style>
  <w:style w:type="paragraph" w:styleId="Fotnotetekst">
    <w:name w:val="footnote text"/>
    <w:basedOn w:val="Normal"/>
    <w:link w:val="FotnotetekstTegn"/>
    <w:uiPriority w:val="99"/>
    <w:semiHidden/>
    <w:unhideWhenUsed/>
    <w:rsid w:val="0012671D"/>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12671D"/>
    <w:rPr>
      <w:sz w:val="20"/>
      <w:szCs w:val="20"/>
    </w:rPr>
  </w:style>
  <w:style w:type="character" w:styleId="Fotnotereferanse">
    <w:name w:val="footnote reference"/>
    <w:basedOn w:val="Standardskriftforavsnitt"/>
    <w:uiPriority w:val="99"/>
    <w:semiHidden/>
    <w:unhideWhenUsed/>
    <w:rsid w:val="0012671D"/>
    <w:rPr>
      <w:vertAlign w:val="superscript"/>
    </w:rPr>
  </w:style>
  <w:style w:type="paragraph" w:styleId="Tittel">
    <w:name w:val="Title"/>
    <w:basedOn w:val="Normal"/>
    <w:next w:val="Normal"/>
    <w:link w:val="TittelTegn"/>
    <w:uiPriority w:val="10"/>
    <w:qFormat/>
    <w:rsid w:val="005C35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C35B4"/>
    <w:rPr>
      <w:rFonts w:asciiTheme="majorHAnsi" w:eastAsiaTheme="majorEastAsia" w:hAnsiTheme="majorHAnsi" w:cstheme="majorBidi"/>
      <w:spacing w:val="-10"/>
      <w:kern w:val="28"/>
      <w:sz w:val="56"/>
      <w:szCs w:val="56"/>
    </w:rPr>
  </w:style>
  <w:style w:type="paragraph" w:styleId="Revisjon">
    <w:name w:val="Revision"/>
    <w:hidden/>
    <w:uiPriority w:val="99"/>
    <w:semiHidden/>
    <w:rsid w:val="00CE1F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5897">
      <w:bodyDiv w:val="1"/>
      <w:marLeft w:val="0"/>
      <w:marRight w:val="0"/>
      <w:marTop w:val="0"/>
      <w:marBottom w:val="0"/>
      <w:divBdr>
        <w:top w:val="none" w:sz="0" w:space="0" w:color="auto"/>
        <w:left w:val="none" w:sz="0" w:space="0" w:color="auto"/>
        <w:bottom w:val="none" w:sz="0" w:space="0" w:color="auto"/>
        <w:right w:val="none" w:sz="0" w:space="0" w:color="auto"/>
      </w:divBdr>
      <w:divsChild>
        <w:div w:id="1774208385">
          <w:marLeft w:val="446"/>
          <w:marRight w:val="0"/>
          <w:marTop w:val="0"/>
          <w:marBottom w:val="0"/>
          <w:divBdr>
            <w:top w:val="none" w:sz="0" w:space="0" w:color="auto"/>
            <w:left w:val="none" w:sz="0" w:space="0" w:color="auto"/>
            <w:bottom w:val="none" w:sz="0" w:space="0" w:color="auto"/>
            <w:right w:val="none" w:sz="0" w:space="0" w:color="auto"/>
          </w:divBdr>
        </w:div>
      </w:divsChild>
    </w:div>
    <w:div w:id="73400437">
      <w:bodyDiv w:val="1"/>
      <w:marLeft w:val="0"/>
      <w:marRight w:val="0"/>
      <w:marTop w:val="0"/>
      <w:marBottom w:val="0"/>
      <w:divBdr>
        <w:top w:val="none" w:sz="0" w:space="0" w:color="auto"/>
        <w:left w:val="none" w:sz="0" w:space="0" w:color="auto"/>
        <w:bottom w:val="none" w:sz="0" w:space="0" w:color="auto"/>
        <w:right w:val="none" w:sz="0" w:space="0" w:color="auto"/>
      </w:divBdr>
    </w:div>
    <w:div w:id="117840974">
      <w:bodyDiv w:val="1"/>
      <w:marLeft w:val="0"/>
      <w:marRight w:val="0"/>
      <w:marTop w:val="0"/>
      <w:marBottom w:val="0"/>
      <w:divBdr>
        <w:top w:val="none" w:sz="0" w:space="0" w:color="auto"/>
        <w:left w:val="none" w:sz="0" w:space="0" w:color="auto"/>
        <w:bottom w:val="none" w:sz="0" w:space="0" w:color="auto"/>
        <w:right w:val="none" w:sz="0" w:space="0" w:color="auto"/>
      </w:divBdr>
      <w:divsChild>
        <w:div w:id="1978993208">
          <w:marLeft w:val="0"/>
          <w:marRight w:val="0"/>
          <w:marTop w:val="0"/>
          <w:marBottom w:val="0"/>
          <w:divBdr>
            <w:top w:val="none" w:sz="0" w:space="0" w:color="auto"/>
            <w:left w:val="none" w:sz="0" w:space="0" w:color="auto"/>
            <w:bottom w:val="none" w:sz="0" w:space="0" w:color="auto"/>
            <w:right w:val="none" w:sz="0" w:space="0" w:color="auto"/>
          </w:divBdr>
          <w:divsChild>
            <w:div w:id="2119443378">
              <w:marLeft w:val="2"/>
              <w:marRight w:val="2"/>
              <w:marTop w:val="75"/>
              <w:marBottom w:val="75"/>
              <w:divBdr>
                <w:top w:val="none" w:sz="0" w:space="0" w:color="auto"/>
                <w:left w:val="none" w:sz="0" w:space="0" w:color="auto"/>
                <w:bottom w:val="none" w:sz="0" w:space="0" w:color="auto"/>
                <w:right w:val="none" w:sz="0" w:space="0" w:color="auto"/>
              </w:divBdr>
              <w:divsChild>
                <w:div w:id="1846244160">
                  <w:marLeft w:val="0"/>
                  <w:marRight w:val="0"/>
                  <w:marTop w:val="0"/>
                  <w:marBottom w:val="0"/>
                  <w:divBdr>
                    <w:top w:val="none" w:sz="0" w:space="0" w:color="auto"/>
                    <w:left w:val="none" w:sz="0" w:space="0" w:color="auto"/>
                    <w:bottom w:val="none" w:sz="0" w:space="0" w:color="auto"/>
                    <w:right w:val="none" w:sz="0" w:space="0" w:color="auto"/>
                  </w:divBdr>
                  <w:divsChild>
                    <w:div w:id="528220186">
                      <w:marLeft w:val="0"/>
                      <w:marRight w:val="0"/>
                      <w:marTop w:val="0"/>
                      <w:marBottom w:val="0"/>
                      <w:divBdr>
                        <w:top w:val="none" w:sz="0" w:space="0" w:color="auto"/>
                        <w:left w:val="none" w:sz="0" w:space="0" w:color="auto"/>
                        <w:bottom w:val="none" w:sz="0" w:space="0" w:color="auto"/>
                        <w:right w:val="none" w:sz="0" w:space="0" w:color="auto"/>
                      </w:divBdr>
                      <w:divsChild>
                        <w:div w:id="533463811">
                          <w:marLeft w:val="0"/>
                          <w:marRight w:val="0"/>
                          <w:marTop w:val="0"/>
                          <w:marBottom w:val="0"/>
                          <w:divBdr>
                            <w:top w:val="none" w:sz="0" w:space="0" w:color="auto"/>
                            <w:left w:val="none" w:sz="0" w:space="0" w:color="auto"/>
                            <w:bottom w:val="none" w:sz="0" w:space="0" w:color="auto"/>
                            <w:right w:val="none" w:sz="0" w:space="0" w:color="auto"/>
                          </w:divBdr>
                          <w:divsChild>
                            <w:div w:id="331493976">
                              <w:marLeft w:val="0"/>
                              <w:marRight w:val="0"/>
                              <w:marTop w:val="0"/>
                              <w:marBottom w:val="0"/>
                              <w:divBdr>
                                <w:top w:val="none" w:sz="0" w:space="0" w:color="auto"/>
                                <w:left w:val="none" w:sz="0" w:space="0" w:color="auto"/>
                                <w:bottom w:val="none" w:sz="0" w:space="0" w:color="auto"/>
                                <w:right w:val="none" w:sz="0" w:space="0" w:color="auto"/>
                              </w:divBdr>
                            </w:div>
                            <w:div w:id="20827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c52bc859-2e57-41c1-a9db-d48c98b3c665">PTM3JNYVZ3TW-122510790-586</_dlc_DocId>
    <_dlc_DocIdUrl xmlns="c52bc859-2e57-41c1-a9db-d48c98b3c665">
      <Url>http://nokutsp2016/sites/tilsyn/_layouts/15/DocIdRedir.aspx?ID=PTM3JNYVZ3TW-122510790-586</Url>
      <Description>PTM3JNYVZ3TW-122510790-586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FD45F4F41C5FC4395F3EF0EDE3831F3" ma:contentTypeVersion="1" ma:contentTypeDescription="Create a new document." ma:contentTypeScope="" ma:versionID="e2df1707bcd4d8ef4887d3010a9eb640">
  <xsd:schema xmlns:xsd="http://www.w3.org/2001/XMLSchema" xmlns:xs="http://www.w3.org/2001/XMLSchema" xmlns:p="http://schemas.microsoft.com/office/2006/metadata/properties" xmlns:ns2="c52bc859-2e57-41c1-a9db-d48c98b3c665" targetNamespace="http://schemas.microsoft.com/office/2006/metadata/properties" ma:root="true" ma:fieldsID="7bd53d00f8e93ce7dd8d806e29d386dd" ns2:_="">
    <xsd:import namespace="c52bc859-2e57-41c1-a9db-d48c98b3c66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bc859-2e57-41c1-a9db-d48c98b3c66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49638-A44C-47A9-9F7F-A68F8588954E}">
  <ds:schemaRefs>
    <ds:schemaRef ds:uri="http://schemas.microsoft.com/sharepoint/v3/contenttype/forms"/>
  </ds:schemaRefs>
</ds:datastoreItem>
</file>

<file path=customXml/itemProps2.xml><?xml version="1.0" encoding="utf-8"?>
<ds:datastoreItem xmlns:ds="http://schemas.openxmlformats.org/officeDocument/2006/customXml" ds:itemID="{70E1167D-0BE8-45C9-9A54-AF2C9C0ACDE1}">
  <ds:schemaRefs>
    <ds:schemaRef ds:uri="http://schemas.microsoft.com/sharepoint/events"/>
  </ds:schemaRefs>
</ds:datastoreItem>
</file>

<file path=customXml/itemProps3.xml><?xml version="1.0" encoding="utf-8"?>
<ds:datastoreItem xmlns:ds="http://schemas.openxmlformats.org/officeDocument/2006/customXml" ds:itemID="{35BFB61C-7203-4322-A34F-26C9A0B7FFC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52bc859-2e57-41c1-a9db-d48c98b3c665"/>
    <ds:schemaRef ds:uri="http://www.w3.org/XML/1998/namespace"/>
    <ds:schemaRef ds:uri="http://purl.org/dc/dcmitype/"/>
  </ds:schemaRefs>
</ds:datastoreItem>
</file>

<file path=customXml/itemProps4.xml><?xml version="1.0" encoding="utf-8"?>
<ds:datastoreItem xmlns:ds="http://schemas.openxmlformats.org/officeDocument/2006/customXml" ds:itemID="{2D16FED3-E90E-47A3-AC4B-CA03CB452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bc859-2e57-41c1-a9db-d48c98b3c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C19B96-EC00-490D-B2BC-F2980152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3250</Words>
  <Characters>17225</Characters>
  <Application>Microsoft Office Word</Application>
  <DocSecurity>4</DocSecurity>
  <Lines>143</Lines>
  <Paragraphs>40</Paragraphs>
  <ScaleCrop>false</ScaleCrop>
  <HeadingPairs>
    <vt:vector size="2" baseType="variant">
      <vt:variant>
        <vt:lpstr>Tittel</vt:lpstr>
      </vt:variant>
      <vt:variant>
        <vt:i4>1</vt:i4>
      </vt:variant>
    </vt:vector>
  </HeadingPairs>
  <TitlesOfParts>
    <vt:vector size="1" baseType="lpstr">
      <vt:lpstr/>
    </vt:vector>
  </TitlesOfParts>
  <Company>NOKUT</Company>
  <LinksUpToDate>false</LinksUpToDate>
  <CharactersWithSpaces>20435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Natland</dc:creator>
  <cp:keywords/>
  <dc:description/>
  <cp:lastModifiedBy>Aasen Therese Sofie</cp:lastModifiedBy>
  <cp:revision>2</cp:revision>
  <dcterms:created xsi:type="dcterms:W3CDTF">2019-08-06T10:40:00Z</dcterms:created>
  <dcterms:modified xsi:type="dcterms:W3CDTF">2019-08-06T10:40:00Z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0x0101000FD45F4F41C5FC4395F3EF0EDE3831F3</vt:lpwstr>
  </property>
  <property fmtid="{D5CDD505-2E9C-101B-9397-08002B2CF9AE}" pid="3" name="_dlc_DocIdItemGuid">
    <vt:lpwstr>82a08bd7-5a2d-4909-ab04-8aef00815060</vt:lpwstr>
  </property>
</Properties>
</file>