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0B540" w14:textId="77777777" w:rsidR="00756678" w:rsidRDefault="001167B1" w:rsidP="0085636F">
      <w:pPr>
        <w:pStyle w:val="Tittel"/>
        <w:jc w:val="center"/>
        <w:rPr>
          <w:rFonts w:cstheme="majorHAnsi"/>
        </w:rPr>
      </w:pPr>
      <w:bookmarkStart w:id="0" w:name="_GoBack"/>
      <w:bookmarkEnd w:id="0"/>
      <w:r w:rsidRPr="00BF3AE7">
        <w:rPr>
          <w:rFonts w:cstheme="majorHAnsi"/>
        </w:rPr>
        <w:t xml:space="preserve">Innspill </w:t>
      </w:r>
      <w:r w:rsidR="00756678">
        <w:rPr>
          <w:rFonts w:cstheme="majorHAnsi"/>
        </w:rPr>
        <w:t xml:space="preserve">knyttet til </w:t>
      </w:r>
    </w:p>
    <w:p w14:paraId="46F9FCB2" w14:textId="39C6311E" w:rsidR="00756678" w:rsidRDefault="00756678" w:rsidP="0085636F">
      <w:pPr>
        <w:pStyle w:val="Tittel"/>
        <w:jc w:val="center"/>
        <w:rPr>
          <w:rFonts w:cstheme="majorHAnsi"/>
        </w:rPr>
      </w:pPr>
      <w:r>
        <w:rPr>
          <w:rFonts w:cstheme="majorHAnsi"/>
        </w:rPr>
        <w:t xml:space="preserve">rettslig regulering og regelverksstruktur </w:t>
      </w:r>
    </w:p>
    <w:p w14:paraId="3121597F" w14:textId="7F600CF4" w:rsidR="0043349F" w:rsidRPr="00BF3AE7" w:rsidRDefault="001167B1" w:rsidP="0085636F">
      <w:pPr>
        <w:pStyle w:val="Tittel"/>
        <w:jc w:val="center"/>
        <w:rPr>
          <w:rFonts w:cstheme="majorHAnsi"/>
        </w:rPr>
      </w:pPr>
      <w:r w:rsidRPr="00BF3AE7">
        <w:rPr>
          <w:rFonts w:cstheme="majorHAnsi"/>
        </w:rPr>
        <w:t>til Universitets- og høyskolelovutvalget</w:t>
      </w:r>
    </w:p>
    <w:sdt>
      <w:sdtPr>
        <w:rPr>
          <w:rFonts w:ascii="Times" w:eastAsia="Times" w:hAnsi="Times" w:cstheme="majorHAnsi"/>
          <w:color w:val="auto"/>
          <w:sz w:val="24"/>
          <w:szCs w:val="20"/>
          <w:lang w:eastAsia="en-US"/>
        </w:rPr>
        <w:id w:val="-1697374519"/>
        <w:docPartObj>
          <w:docPartGallery w:val="Table of Contents"/>
          <w:docPartUnique/>
        </w:docPartObj>
      </w:sdtPr>
      <w:sdtEndPr>
        <w:rPr>
          <w:b/>
          <w:bCs/>
        </w:rPr>
      </w:sdtEndPr>
      <w:sdtContent>
        <w:p w14:paraId="31215980" w14:textId="77777777" w:rsidR="0085636F" w:rsidRPr="00BF3AE7" w:rsidRDefault="0085636F">
          <w:pPr>
            <w:pStyle w:val="Overskriftforinnholdsfortegnelse"/>
            <w:rPr>
              <w:rFonts w:cstheme="majorHAnsi"/>
            </w:rPr>
          </w:pPr>
          <w:r w:rsidRPr="00BF3AE7">
            <w:rPr>
              <w:rFonts w:cstheme="majorHAnsi"/>
            </w:rPr>
            <w:t>Innhold</w:t>
          </w:r>
        </w:p>
        <w:p w14:paraId="157FEAD1" w14:textId="77777777" w:rsidR="007970F3" w:rsidRDefault="0085636F">
          <w:pPr>
            <w:pStyle w:val="INNH1"/>
            <w:tabs>
              <w:tab w:val="left" w:pos="440"/>
              <w:tab w:val="right" w:leader="dot" w:pos="9062"/>
            </w:tabs>
            <w:rPr>
              <w:rFonts w:asciiTheme="minorHAnsi" w:eastAsiaTheme="minorEastAsia" w:hAnsiTheme="minorHAnsi" w:cstheme="minorBidi"/>
              <w:noProof/>
              <w:sz w:val="22"/>
              <w:szCs w:val="22"/>
              <w:lang w:eastAsia="nb-NO"/>
            </w:rPr>
          </w:pPr>
          <w:r w:rsidRPr="00BF3AE7">
            <w:rPr>
              <w:rFonts w:asciiTheme="majorHAnsi" w:hAnsiTheme="majorHAnsi" w:cstheme="majorHAnsi"/>
              <w:b/>
              <w:bCs/>
            </w:rPr>
            <w:fldChar w:fldCharType="begin"/>
          </w:r>
          <w:r w:rsidRPr="00BF3AE7">
            <w:rPr>
              <w:rFonts w:asciiTheme="majorHAnsi" w:hAnsiTheme="majorHAnsi" w:cstheme="majorHAnsi"/>
              <w:b/>
              <w:bCs/>
            </w:rPr>
            <w:instrText xml:space="preserve"> TOC \o "1-3" \h \z \u </w:instrText>
          </w:r>
          <w:r w:rsidRPr="00BF3AE7">
            <w:rPr>
              <w:rFonts w:asciiTheme="majorHAnsi" w:hAnsiTheme="majorHAnsi" w:cstheme="majorHAnsi"/>
              <w:b/>
              <w:bCs/>
            </w:rPr>
            <w:fldChar w:fldCharType="separate"/>
          </w:r>
          <w:hyperlink w:anchor="_Toc12631426" w:history="1">
            <w:r w:rsidR="007970F3" w:rsidRPr="00BC38C0">
              <w:rPr>
                <w:rStyle w:val="Hyperkobling"/>
                <w:rFonts w:cstheme="majorHAnsi"/>
                <w:noProof/>
              </w:rPr>
              <w:t>1.</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Innledning</w:t>
            </w:r>
            <w:r w:rsidR="007970F3">
              <w:rPr>
                <w:noProof/>
                <w:webHidden/>
              </w:rPr>
              <w:tab/>
            </w:r>
            <w:r w:rsidR="007970F3">
              <w:rPr>
                <w:noProof/>
                <w:webHidden/>
              </w:rPr>
              <w:fldChar w:fldCharType="begin"/>
            </w:r>
            <w:r w:rsidR="007970F3">
              <w:rPr>
                <w:noProof/>
                <w:webHidden/>
              </w:rPr>
              <w:instrText xml:space="preserve"> PAGEREF _Toc12631426 \h </w:instrText>
            </w:r>
            <w:r w:rsidR="007970F3">
              <w:rPr>
                <w:noProof/>
                <w:webHidden/>
              </w:rPr>
            </w:r>
            <w:r w:rsidR="007970F3">
              <w:rPr>
                <w:noProof/>
                <w:webHidden/>
              </w:rPr>
              <w:fldChar w:fldCharType="separate"/>
            </w:r>
            <w:r w:rsidR="007970F3">
              <w:rPr>
                <w:noProof/>
                <w:webHidden/>
              </w:rPr>
              <w:t>1</w:t>
            </w:r>
            <w:r w:rsidR="007970F3">
              <w:rPr>
                <w:noProof/>
                <w:webHidden/>
              </w:rPr>
              <w:fldChar w:fldCharType="end"/>
            </w:r>
          </w:hyperlink>
        </w:p>
        <w:p w14:paraId="67600287" w14:textId="77777777" w:rsidR="007970F3" w:rsidRDefault="00377D2B">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12631427" w:history="1">
            <w:r w:rsidR="007970F3" w:rsidRPr="00BC38C0">
              <w:rPr>
                <w:rStyle w:val="Hyperkobling"/>
                <w:rFonts w:cstheme="majorHAnsi"/>
                <w:noProof/>
              </w:rPr>
              <w:t>2.</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Regulering av kvalitet</w:t>
            </w:r>
            <w:r w:rsidR="007970F3">
              <w:rPr>
                <w:noProof/>
                <w:webHidden/>
              </w:rPr>
              <w:tab/>
            </w:r>
            <w:r w:rsidR="007970F3">
              <w:rPr>
                <w:noProof/>
                <w:webHidden/>
              </w:rPr>
              <w:fldChar w:fldCharType="begin"/>
            </w:r>
            <w:r w:rsidR="007970F3">
              <w:rPr>
                <w:noProof/>
                <w:webHidden/>
              </w:rPr>
              <w:instrText xml:space="preserve"> PAGEREF _Toc12631427 \h </w:instrText>
            </w:r>
            <w:r w:rsidR="007970F3">
              <w:rPr>
                <w:noProof/>
                <w:webHidden/>
              </w:rPr>
            </w:r>
            <w:r w:rsidR="007970F3">
              <w:rPr>
                <w:noProof/>
                <w:webHidden/>
              </w:rPr>
              <w:fldChar w:fldCharType="separate"/>
            </w:r>
            <w:r w:rsidR="007970F3">
              <w:rPr>
                <w:noProof/>
                <w:webHidden/>
              </w:rPr>
              <w:t>2</w:t>
            </w:r>
            <w:r w:rsidR="007970F3">
              <w:rPr>
                <w:noProof/>
                <w:webHidden/>
              </w:rPr>
              <w:fldChar w:fldCharType="end"/>
            </w:r>
          </w:hyperlink>
        </w:p>
        <w:p w14:paraId="694DF47E" w14:textId="77777777" w:rsidR="007970F3" w:rsidRDefault="00377D2B">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12631428" w:history="1">
            <w:r w:rsidR="007970F3" w:rsidRPr="00BC38C0">
              <w:rPr>
                <w:rStyle w:val="Hyperkobling"/>
                <w:rFonts w:cstheme="majorHAnsi"/>
                <w:noProof/>
              </w:rPr>
              <w:t>2.1.</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Rettslig regulering som virkemiddel</w:t>
            </w:r>
            <w:r w:rsidR="007970F3">
              <w:rPr>
                <w:noProof/>
                <w:webHidden/>
              </w:rPr>
              <w:tab/>
            </w:r>
            <w:r w:rsidR="007970F3">
              <w:rPr>
                <w:noProof/>
                <w:webHidden/>
              </w:rPr>
              <w:fldChar w:fldCharType="begin"/>
            </w:r>
            <w:r w:rsidR="007970F3">
              <w:rPr>
                <w:noProof/>
                <w:webHidden/>
              </w:rPr>
              <w:instrText xml:space="preserve"> PAGEREF _Toc12631428 \h </w:instrText>
            </w:r>
            <w:r w:rsidR="007970F3">
              <w:rPr>
                <w:noProof/>
                <w:webHidden/>
              </w:rPr>
            </w:r>
            <w:r w:rsidR="007970F3">
              <w:rPr>
                <w:noProof/>
                <w:webHidden/>
              </w:rPr>
              <w:fldChar w:fldCharType="separate"/>
            </w:r>
            <w:r w:rsidR="007970F3">
              <w:rPr>
                <w:noProof/>
                <w:webHidden/>
              </w:rPr>
              <w:t>2</w:t>
            </w:r>
            <w:r w:rsidR="007970F3">
              <w:rPr>
                <w:noProof/>
                <w:webHidden/>
              </w:rPr>
              <w:fldChar w:fldCharType="end"/>
            </w:r>
          </w:hyperlink>
        </w:p>
        <w:p w14:paraId="6EA984D9" w14:textId="77777777" w:rsidR="007970F3" w:rsidRDefault="00377D2B">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12631429" w:history="1">
            <w:r w:rsidR="007970F3" w:rsidRPr="00BC38C0">
              <w:rPr>
                <w:rStyle w:val="Hyperkobling"/>
                <w:rFonts w:cstheme="majorHAnsi"/>
                <w:noProof/>
              </w:rPr>
              <w:t>2.2.</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Kvalitetssikrer og kvalitetsutvikler</w:t>
            </w:r>
            <w:r w:rsidR="007970F3">
              <w:rPr>
                <w:noProof/>
                <w:webHidden/>
              </w:rPr>
              <w:tab/>
            </w:r>
            <w:r w:rsidR="007970F3">
              <w:rPr>
                <w:noProof/>
                <w:webHidden/>
              </w:rPr>
              <w:fldChar w:fldCharType="begin"/>
            </w:r>
            <w:r w:rsidR="007970F3">
              <w:rPr>
                <w:noProof/>
                <w:webHidden/>
              </w:rPr>
              <w:instrText xml:space="preserve"> PAGEREF _Toc12631429 \h </w:instrText>
            </w:r>
            <w:r w:rsidR="007970F3">
              <w:rPr>
                <w:noProof/>
                <w:webHidden/>
              </w:rPr>
            </w:r>
            <w:r w:rsidR="007970F3">
              <w:rPr>
                <w:noProof/>
                <w:webHidden/>
              </w:rPr>
              <w:fldChar w:fldCharType="separate"/>
            </w:r>
            <w:r w:rsidR="007970F3">
              <w:rPr>
                <w:noProof/>
                <w:webHidden/>
              </w:rPr>
              <w:t>2</w:t>
            </w:r>
            <w:r w:rsidR="007970F3">
              <w:rPr>
                <w:noProof/>
                <w:webHidden/>
              </w:rPr>
              <w:fldChar w:fldCharType="end"/>
            </w:r>
          </w:hyperlink>
        </w:p>
        <w:p w14:paraId="785A7B6E" w14:textId="77777777" w:rsidR="007970F3" w:rsidRDefault="00377D2B">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12631430" w:history="1">
            <w:r w:rsidR="007970F3" w:rsidRPr="00BC38C0">
              <w:rPr>
                <w:rStyle w:val="Hyperkobling"/>
                <w:rFonts w:cstheme="majorHAnsi"/>
                <w:noProof/>
              </w:rPr>
              <w:t>3.</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Dagens regulering av universiteter og høyskoler</w:t>
            </w:r>
            <w:r w:rsidR="007970F3">
              <w:rPr>
                <w:noProof/>
                <w:webHidden/>
              </w:rPr>
              <w:tab/>
            </w:r>
            <w:r w:rsidR="007970F3">
              <w:rPr>
                <w:noProof/>
                <w:webHidden/>
              </w:rPr>
              <w:fldChar w:fldCharType="begin"/>
            </w:r>
            <w:r w:rsidR="007970F3">
              <w:rPr>
                <w:noProof/>
                <w:webHidden/>
              </w:rPr>
              <w:instrText xml:space="preserve"> PAGEREF _Toc12631430 \h </w:instrText>
            </w:r>
            <w:r w:rsidR="007970F3">
              <w:rPr>
                <w:noProof/>
                <w:webHidden/>
              </w:rPr>
            </w:r>
            <w:r w:rsidR="007970F3">
              <w:rPr>
                <w:noProof/>
                <w:webHidden/>
              </w:rPr>
              <w:fldChar w:fldCharType="separate"/>
            </w:r>
            <w:r w:rsidR="007970F3">
              <w:rPr>
                <w:noProof/>
                <w:webHidden/>
              </w:rPr>
              <w:t>2</w:t>
            </w:r>
            <w:r w:rsidR="007970F3">
              <w:rPr>
                <w:noProof/>
                <w:webHidden/>
              </w:rPr>
              <w:fldChar w:fldCharType="end"/>
            </w:r>
          </w:hyperlink>
        </w:p>
        <w:p w14:paraId="423E1BE1" w14:textId="77777777" w:rsidR="007970F3" w:rsidRDefault="00377D2B">
          <w:pPr>
            <w:pStyle w:val="INNH2"/>
            <w:tabs>
              <w:tab w:val="left" w:pos="880"/>
              <w:tab w:val="right" w:leader="dot" w:pos="9062"/>
            </w:tabs>
            <w:rPr>
              <w:rFonts w:asciiTheme="minorHAnsi" w:eastAsiaTheme="minorEastAsia" w:hAnsiTheme="minorHAnsi" w:cstheme="minorBidi"/>
              <w:noProof/>
              <w:sz w:val="22"/>
              <w:szCs w:val="22"/>
              <w:lang w:eastAsia="nb-NO"/>
            </w:rPr>
          </w:pPr>
          <w:hyperlink w:anchor="_Toc12631431" w:history="1">
            <w:r w:rsidR="007970F3" w:rsidRPr="00BC38C0">
              <w:rPr>
                <w:rStyle w:val="Hyperkobling"/>
                <w:rFonts w:cstheme="majorHAnsi"/>
                <w:noProof/>
              </w:rPr>
              <w:t>3.1.</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Kontroll og handlefrihet</w:t>
            </w:r>
            <w:r w:rsidR="007970F3">
              <w:rPr>
                <w:noProof/>
                <w:webHidden/>
              </w:rPr>
              <w:tab/>
            </w:r>
            <w:r w:rsidR="007970F3">
              <w:rPr>
                <w:noProof/>
                <w:webHidden/>
              </w:rPr>
              <w:fldChar w:fldCharType="begin"/>
            </w:r>
            <w:r w:rsidR="007970F3">
              <w:rPr>
                <w:noProof/>
                <w:webHidden/>
              </w:rPr>
              <w:instrText xml:space="preserve"> PAGEREF _Toc12631431 \h </w:instrText>
            </w:r>
            <w:r w:rsidR="007970F3">
              <w:rPr>
                <w:noProof/>
                <w:webHidden/>
              </w:rPr>
            </w:r>
            <w:r w:rsidR="007970F3">
              <w:rPr>
                <w:noProof/>
                <w:webHidden/>
              </w:rPr>
              <w:fldChar w:fldCharType="separate"/>
            </w:r>
            <w:r w:rsidR="007970F3">
              <w:rPr>
                <w:noProof/>
                <w:webHidden/>
              </w:rPr>
              <w:t>2</w:t>
            </w:r>
            <w:r w:rsidR="007970F3">
              <w:rPr>
                <w:noProof/>
                <w:webHidden/>
              </w:rPr>
              <w:fldChar w:fldCharType="end"/>
            </w:r>
          </w:hyperlink>
        </w:p>
        <w:p w14:paraId="63C05663" w14:textId="77777777" w:rsidR="007970F3" w:rsidRDefault="00377D2B">
          <w:pPr>
            <w:pStyle w:val="INNH2"/>
            <w:tabs>
              <w:tab w:val="left" w:pos="880"/>
              <w:tab w:val="right" w:leader="dot" w:pos="9062"/>
            </w:tabs>
            <w:rPr>
              <w:rFonts w:asciiTheme="minorHAnsi" w:eastAsiaTheme="minorEastAsia" w:hAnsiTheme="minorHAnsi" w:cstheme="minorBidi"/>
              <w:noProof/>
              <w:sz w:val="22"/>
              <w:szCs w:val="22"/>
              <w:lang w:eastAsia="nb-NO"/>
            </w:rPr>
          </w:pPr>
          <w:hyperlink w:anchor="_Toc12631432" w:history="1">
            <w:r w:rsidR="007970F3" w:rsidRPr="00BC38C0">
              <w:rPr>
                <w:rStyle w:val="Hyperkobling"/>
                <w:rFonts w:cstheme="majorHAnsi"/>
                <w:noProof/>
              </w:rPr>
              <w:t>3.2.</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Andre virkemidler</w:t>
            </w:r>
            <w:r w:rsidR="007970F3">
              <w:rPr>
                <w:noProof/>
                <w:webHidden/>
              </w:rPr>
              <w:tab/>
            </w:r>
            <w:r w:rsidR="007970F3">
              <w:rPr>
                <w:noProof/>
                <w:webHidden/>
              </w:rPr>
              <w:fldChar w:fldCharType="begin"/>
            </w:r>
            <w:r w:rsidR="007970F3">
              <w:rPr>
                <w:noProof/>
                <w:webHidden/>
              </w:rPr>
              <w:instrText xml:space="preserve"> PAGEREF _Toc12631432 \h </w:instrText>
            </w:r>
            <w:r w:rsidR="007970F3">
              <w:rPr>
                <w:noProof/>
                <w:webHidden/>
              </w:rPr>
            </w:r>
            <w:r w:rsidR="007970F3">
              <w:rPr>
                <w:noProof/>
                <w:webHidden/>
              </w:rPr>
              <w:fldChar w:fldCharType="separate"/>
            </w:r>
            <w:r w:rsidR="007970F3">
              <w:rPr>
                <w:noProof/>
                <w:webHidden/>
              </w:rPr>
              <w:t>3</w:t>
            </w:r>
            <w:r w:rsidR="007970F3">
              <w:rPr>
                <w:noProof/>
                <w:webHidden/>
              </w:rPr>
              <w:fldChar w:fldCharType="end"/>
            </w:r>
          </w:hyperlink>
        </w:p>
        <w:p w14:paraId="64BEF106" w14:textId="77777777" w:rsidR="007970F3" w:rsidRDefault="00377D2B">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12631433" w:history="1">
            <w:r w:rsidR="007970F3" w:rsidRPr="00BC38C0">
              <w:rPr>
                <w:rStyle w:val="Hyperkobling"/>
                <w:rFonts w:cstheme="majorHAnsi"/>
                <w:noProof/>
              </w:rPr>
              <w:t>4.</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Regelverksstruktur</w:t>
            </w:r>
            <w:r w:rsidR="007970F3">
              <w:rPr>
                <w:noProof/>
                <w:webHidden/>
              </w:rPr>
              <w:tab/>
            </w:r>
            <w:r w:rsidR="007970F3">
              <w:rPr>
                <w:noProof/>
                <w:webHidden/>
              </w:rPr>
              <w:fldChar w:fldCharType="begin"/>
            </w:r>
            <w:r w:rsidR="007970F3">
              <w:rPr>
                <w:noProof/>
                <w:webHidden/>
              </w:rPr>
              <w:instrText xml:space="preserve"> PAGEREF _Toc12631433 \h </w:instrText>
            </w:r>
            <w:r w:rsidR="007970F3">
              <w:rPr>
                <w:noProof/>
                <w:webHidden/>
              </w:rPr>
            </w:r>
            <w:r w:rsidR="007970F3">
              <w:rPr>
                <w:noProof/>
                <w:webHidden/>
              </w:rPr>
              <w:fldChar w:fldCharType="separate"/>
            </w:r>
            <w:r w:rsidR="007970F3">
              <w:rPr>
                <w:noProof/>
                <w:webHidden/>
              </w:rPr>
              <w:t>4</w:t>
            </w:r>
            <w:r w:rsidR="007970F3">
              <w:rPr>
                <w:noProof/>
                <w:webHidden/>
              </w:rPr>
              <w:fldChar w:fldCharType="end"/>
            </w:r>
          </w:hyperlink>
        </w:p>
        <w:p w14:paraId="0C3163F3" w14:textId="77777777" w:rsidR="007970F3" w:rsidRDefault="00377D2B">
          <w:pPr>
            <w:pStyle w:val="INNH2"/>
            <w:tabs>
              <w:tab w:val="left" w:pos="880"/>
              <w:tab w:val="right" w:leader="dot" w:pos="9062"/>
            </w:tabs>
            <w:rPr>
              <w:rFonts w:asciiTheme="minorHAnsi" w:eastAsiaTheme="minorEastAsia" w:hAnsiTheme="minorHAnsi" w:cstheme="minorBidi"/>
              <w:noProof/>
              <w:sz w:val="22"/>
              <w:szCs w:val="22"/>
              <w:lang w:eastAsia="nb-NO"/>
            </w:rPr>
          </w:pPr>
          <w:hyperlink w:anchor="_Toc12631434" w:history="1">
            <w:r w:rsidR="007970F3" w:rsidRPr="00BC38C0">
              <w:rPr>
                <w:rStyle w:val="Hyperkobling"/>
                <w:rFonts w:cstheme="majorHAnsi"/>
                <w:noProof/>
              </w:rPr>
              <w:t>4.1.</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Innledning</w:t>
            </w:r>
            <w:r w:rsidR="007970F3">
              <w:rPr>
                <w:noProof/>
                <w:webHidden/>
              </w:rPr>
              <w:tab/>
            </w:r>
            <w:r w:rsidR="007970F3">
              <w:rPr>
                <w:noProof/>
                <w:webHidden/>
              </w:rPr>
              <w:fldChar w:fldCharType="begin"/>
            </w:r>
            <w:r w:rsidR="007970F3">
              <w:rPr>
                <w:noProof/>
                <w:webHidden/>
              </w:rPr>
              <w:instrText xml:space="preserve"> PAGEREF _Toc12631434 \h </w:instrText>
            </w:r>
            <w:r w:rsidR="007970F3">
              <w:rPr>
                <w:noProof/>
                <w:webHidden/>
              </w:rPr>
            </w:r>
            <w:r w:rsidR="007970F3">
              <w:rPr>
                <w:noProof/>
                <w:webHidden/>
              </w:rPr>
              <w:fldChar w:fldCharType="separate"/>
            </w:r>
            <w:r w:rsidR="007970F3">
              <w:rPr>
                <w:noProof/>
                <w:webHidden/>
              </w:rPr>
              <w:t>4</w:t>
            </w:r>
            <w:r w:rsidR="007970F3">
              <w:rPr>
                <w:noProof/>
                <w:webHidden/>
              </w:rPr>
              <w:fldChar w:fldCharType="end"/>
            </w:r>
          </w:hyperlink>
        </w:p>
        <w:p w14:paraId="5DD422EA" w14:textId="77777777" w:rsidR="007970F3" w:rsidRDefault="00377D2B">
          <w:pPr>
            <w:pStyle w:val="INNH2"/>
            <w:tabs>
              <w:tab w:val="left" w:pos="880"/>
              <w:tab w:val="right" w:leader="dot" w:pos="9062"/>
            </w:tabs>
            <w:rPr>
              <w:rFonts w:asciiTheme="minorHAnsi" w:eastAsiaTheme="minorEastAsia" w:hAnsiTheme="minorHAnsi" w:cstheme="minorBidi"/>
              <w:noProof/>
              <w:sz w:val="22"/>
              <w:szCs w:val="22"/>
              <w:lang w:eastAsia="nb-NO"/>
            </w:rPr>
          </w:pPr>
          <w:hyperlink w:anchor="_Toc12631435" w:history="1">
            <w:r w:rsidR="007970F3" w:rsidRPr="00BC38C0">
              <w:rPr>
                <w:rStyle w:val="Hyperkobling"/>
                <w:rFonts w:cstheme="majorHAnsi"/>
                <w:noProof/>
              </w:rPr>
              <w:t>4.2.</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Forskriftsstruktur</w:t>
            </w:r>
            <w:r w:rsidR="007970F3">
              <w:rPr>
                <w:noProof/>
                <w:webHidden/>
              </w:rPr>
              <w:tab/>
            </w:r>
            <w:r w:rsidR="007970F3">
              <w:rPr>
                <w:noProof/>
                <w:webHidden/>
              </w:rPr>
              <w:fldChar w:fldCharType="begin"/>
            </w:r>
            <w:r w:rsidR="007970F3">
              <w:rPr>
                <w:noProof/>
                <w:webHidden/>
              </w:rPr>
              <w:instrText xml:space="preserve"> PAGEREF _Toc12631435 \h </w:instrText>
            </w:r>
            <w:r w:rsidR="007970F3">
              <w:rPr>
                <w:noProof/>
                <w:webHidden/>
              </w:rPr>
            </w:r>
            <w:r w:rsidR="007970F3">
              <w:rPr>
                <w:noProof/>
                <w:webHidden/>
              </w:rPr>
              <w:fldChar w:fldCharType="separate"/>
            </w:r>
            <w:r w:rsidR="007970F3">
              <w:rPr>
                <w:noProof/>
                <w:webHidden/>
              </w:rPr>
              <w:t>4</w:t>
            </w:r>
            <w:r w:rsidR="007970F3">
              <w:rPr>
                <w:noProof/>
                <w:webHidden/>
              </w:rPr>
              <w:fldChar w:fldCharType="end"/>
            </w:r>
          </w:hyperlink>
        </w:p>
        <w:p w14:paraId="2E4C4958" w14:textId="77777777" w:rsidR="007970F3" w:rsidRDefault="00377D2B">
          <w:pPr>
            <w:pStyle w:val="INNH2"/>
            <w:tabs>
              <w:tab w:val="left" w:pos="880"/>
              <w:tab w:val="right" w:leader="dot" w:pos="9062"/>
            </w:tabs>
            <w:rPr>
              <w:rFonts w:asciiTheme="minorHAnsi" w:eastAsiaTheme="minorEastAsia" w:hAnsiTheme="minorHAnsi" w:cstheme="minorBidi"/>
              <w:noProof/>
              <w:sz w:val="22"/>
              <w:szCs w:val="22"/>
              <w:lang w:eastAsia="nb-NO"/>
            </w:rPr>
          </w:pPr>
          <w:hyperlink w:anchor="_Toc12631436" w:history="1">
            <w:r w:rsidR="007970F3" w:rsidRPr="00BC38C0">
              <w:rPr>
                <w:rStyle w:val="Hyperkobling"/>
                <w:rFonts w:eastAsiaTheme="minorHAnsi" w:cstheme="majorHAnsi"/>
                <w:noProof/>
              </w:rPr>
              <w:t>4.3.</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Forskrifter</w:t>
            </w:r>
            <w:r w:rsidR="007970F3" w:rsidRPr="00BC38C0">
              <w:rPr>
                <w:rStyle w:val="Hyperkobling"/>
                <w:rFonts w:eastAsiaTheme="minorHAnsi" w:cstheme="majorHAnsi"/>
                <w:noProof/>
              </w:rPr>
              <w:t xml:space="preserve"> rettet mot studieprogram</w:t>
            </w:r>
            <w:r w:rsidR="007970F3">
              <w:rPr>
                <w:noProof/>
                <w:webHidden/>
              </w:rPr>
              <w:tab/>
            </w:r>
            <w:r w:rsidR="007970F3">
              <w:rPr>
                <w:noProof/>
                <w:webHidden/>
              </w:rPr>
              <w:fldChar w:fldCharType="begin"/>
            </w:r>
            <w:r w:rsidR="007970F3">
              <w:rPr>
                <w:noProof/>
                <w:webHidden/>
              </w:rPr>
              <w:instrText xml:space="preserve"> PAGEREF _Toc12631436 \h </w:instrText>
            </w:r>
            <w:r w:rsidR="007970F3">
              <w:rPr>
                <w:noProof/>
                <w:webHidden/>
              </w:rPr>
            </w:r>
            <w:r w:rsidR="007970F3">
              <w:rPr>
                <w:noProof/>
                <w:webHidden/>
              </w:rPr>
              <w:fldChar w:fldCharType="separate"/>
            </w:r>
            <w:r w:rsidR="007970F3">
              <w:rPr>
                <w:noProof/>
                <w:webHidden/>
              </w:rPr>
              <w:t>5</w:t>
            </w:r>
            <w:r w:rsidR="007970F3">
              <w:rPr>
                <w:noProof/>
                <w:webHidden/>
              </w:rPr>
              <w:fldChar w:fldCharType="end"/>
            </w:r>
          </w:hyperlink>
        </w:p>
        <w:p w14:paraId="3FA682BF" w14:textId="77777777" w:rsidR="007970F3" w:rsidRDefault="00377D2B">
          <w:pPr>
            <w:pStyle w:val="INNH2"/>
            <w:tabs>
              <w:tab w:val="left" w:pos="880"/>
              <w:tab w:val="right" w:leader="dot" w:pos="9062"/>
            </w:tabs>
            <w:rPr>
              <w:rFonts w:asciiTheme="minorHAnsi" w:eastAsiaTheme="minorEastAsia" w:hAnsiTheme="minorHAnsi" w:cstheme="minorBidi"/>
              <w:noProof/>
              <w:sz w:val="22"/>
              <w:szCs w:val="22"/>
              <w:lang w:eastAsia="nb-NO"/>
            </w:rPr>
          </w:pPr>
          <w:hyperlink w:anchor="_Toc12631437" w:history="1">
            <w:r w:rsidR="007970F3" w:rsidRPr="00BC38C0">
              <w:rPr>
                <w:rStyle w:val="Hyperkobling"/>
                <w:rFonts w:cstheme="majorHAnsi"/>
                <w:noProof/>
              </w:rPr>
              <w:t>4.4.</w:t>
            </w:r>
            <w:r w:rsidR="007970F3">
              <w:rPr>
                <w:rFonts w:asciiTheme="minorHAnsi" w:eastAsiaTheme="minorEastAsia" w:hAnsiTheme="minorHAnsi" w:cstheme="minorBidi"/>
                <w:noProof/>
                <w:sz w:val="22"/>
                <w:szCs w:val="22"/>
                <w:lang w:eastAsia="nb-NO"/>
              </w:rPr>
              <w:tab/>
            </w:r>
            <w:r w:rsidR="007970F3" w:rsidRPr="00BC38C0">
              <w:rPr>
                <w:rStyle w:val="Hyperkobling"/>
                <w:rFonts w:cstheme="majorHAnsi"/>
                <w:noProof/>
              </w:rPr>
              <w:t>Lokale forskrifter</w:t>
            </w:r>
            <w:r w:rsidR="007970F3">
              <w:rPr>
                <w:noProof/>
                <w:webHidden/>
              </w:rPr>
              <w:tab/>
            </w:r>
            <w:r w:rsidR="007970F3">
              <w:rPr>
                <w:noProof/>
                <w:webHidden/>
              </w:rPr>
              <w:fldChar w:fldCharType="begin"/>
            </w:r>
            <w:r w:rsidR="007970F3">
              <w:rPr>
                <w:noProof/>
                <w:webHidden/>
              </w:rPr>
              <w:instrText xml:space="preserve"> PAGEREF _Toc12631437 \h </w:instrText>
            </w:r>
            <w:r w:rsidR="007970F3">
              <w:rPr>
                <w:noProof/>
                <w:webHidden/>
              </w:rPr>
            </w:r>
            <w:r w:rsidR="007970F3">
              <w:rPr>
                <w:noProof/>
                <w:webHidden/>
              </w:rPr>
              <w:fldChar w:fldCharType="separate"/>
            </w:r>
            <w:r w:rsidR="007970F3">
              <w:rPr>
                <w:noProof/>
                <w:webHidden/>
              </w:rPr>
              <w:t>6</w:t>
            </w:r>
            <w:r w:rsidR="007970F3">
              <w:rPr>
                <w:noProof/>
                <w:webHidden/>
              </w:rPr>
              <w:fldChar w:fldCharType="end"/>
            </w:r>
          </w:hyperlink>
        </w:p>
        <w:p w14:paraId="71F2A1B1" w14:textId="77777777" w:rsidR="007970F3" w:rsidRDefault="00377D2B">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12631438" w:history="1">
            <w:r w:rsidR="007970F3" w:rsidRPr="00BC38C0">
              <w:rPr>
                <w:rStyle w:val="Hyperkobling"/>
                <w:rFonts w:eastAsiaTheme="minorHAnsi" w:cstheme="majorHAnsi"/>
                <w:noProof/>
              </w:rPr>
              <w:t>5.</w:t>
            </w:r>
            <w:r w:rsidR="007970F3">
              <w:rPr>
                <w:rFonts w:asciiTheme="minorHAnsi" w:eastAsiaTheme="minorEastAsia" w:hAnsiTheme="minorHAnsi" w:cstheme="minorBidi"/>
                <w:noProof/>
                <w:sz w:val="22"/>
                <w:szCs w:val="22"/>
                <w:lang w:eastAsia="nb-NO"/>
              </w:rPr>
              <w:tab/>
            </w:r>
            <w:r w:rsidR="007970F3" w:rsidRPr="00BC38C0">
              <w:rPr>
                <w:rStyle w:val="Hyperkobling"/>
                <w:rFonts w:eastAsiaTheme="minorHAnsi" w:cstheme="majorHAnsi"/>
                <w:noProof/>
              </w:rPr>
              <w:t>Et begrensende regelverk?</w:t>
            </w:r>
            <w:r w:rsidR="007970F3">
              <w:rPr>
                <w:noProof/>
                <w:webHidden/>
              </w:rPr>
              <w:tab/>
            </w:r>
            <w:r w:rsidR="007970F3">
              <w:rPr>
                <w:noProof/>
                <w:webHidden/>
              </w:rPr>
              <w:fldChar w:fldCharType="begin"/>
            </w:r>
            <w:r w:rsidR="007970F3">
              <w:rPr>
                <w:noProof/>
                <w:webHidden/>
              </w:rPr>
              <w:instrText xml:space="preserve"> PAGEREF _Toc12631438 \h </w:instrText>
            </w:r>
            <w:r w:rsidR="007970F3">
              <w:rPr>
                <w:noProof/>
                <w:webHidden/>
              </w:rPr>
            </w:r>
            <w:r w:rsidR="007970F3">
              <w:rPr>
                <w:noProof/>
                <w:webHidden/>
              </w:rPr>
              <w:fldChar w:fldCharType="separate"/>
            </w:r>
            <w:r w:rsidR="007970F3">
              <w:rPr>
                <w:noProof/>
                <w:webHidden/>
              </w:rPr>
              <w:t>6</w:t>
            </w:r>
            <w:r w:rsidR="007970F3">
              <w:rPr>
                <w:noProof/>
                <w:webHidden/>
              </w:rPr>
              <w:fldChar w:fldCharType="end"/>
            </w:r>
          </w:hyperlink>
        </w:p>
        <w:p w14:paraId="31215989" w14:textId="77777777" w:rsidR="0085636F" w:rsidRPr="00BF3AE7" w:rsidRDefault="0085636F">
          <w:pPr>
            <w:rPr>
              <w:rFonts w:asciiTheme="majorHAnsi" w:hAnsiTheme="majorHAnsi" w:cstheme="majorHAnsi"/>
            </w:rPr>
          </w:pPr>
          <w:r w:rsidRPr="00BF3AE7">
            <w:rPr>
              <w:rFonts w:asciiTheme="majorHAnsi" w:hAnsiTheme="majorHAnsi" w:cstheme="majorHAnsi"/>
              <w:b/>
              <w:bCs/>
            </w:rPr>
            <w:fldChar w:fldCharType="end"/>
          </w:r>
        </w:p>
      </w:sdtContent>
    </w:sdt>
    <w:p w14:paraId="3121598A" w14:textId="77777777" w:rsidR="00B312DB" w:rsidRPr="00BF3AE7" w:rsidRDefault="00B312DB" w:rsidP="00C82620">
      <w:pPr>
        <w:pStyle w:val="Overskrift1"/>
        <w:numPr>
          <w:ilvl w:val="0"/>
          <w:numId w:val="11"/>
        </w:numPr>
        <w:rPr>
          <w:rFonts w:cstheme="majorHAnsi"/>
        </w:rPr>
      </w:pPr>
      <w:bookmarkStart w:id="1" w:name="_Toc12631426"/>
      <w:r w:rsidRPr="00BF3AE7">
        <w:rPr>
          <w:rFonts w:cstheme="majorHAnsi"/>
        </w:rPr>
        <w:t>Innledning</w:t>
      </w:r>
      <w:bookmarkEnd w:id="1"/>
    </w:p>
    <w:p w14:paraId="63048B2E" w14:textId="37D07BBC" w:rsidR="005E02A0" w:rsidRPr="00BF3AE7" w:rsidRDefault="00D93B0C" w:rsidP="00171CC3">
      <w:pPr>
        <w:rPr>
          <w:rFonts w:asciiTheme="majorHAnsi" w:hAnsiTheme="majorHAnsi" w:cstheme="majorHAnsi"/>
        </w:rPr>
      </w:pPr>
      <w:r w:rsidRPr="00BF3AE7">
        <w:rPr>
          <w:rFonts w:asciiTheme="majorHAnsi" w:hAnsiTheme="majorHAnsi" w:cstheme="majorHAnsi"/>
        </w:rPr>
        <w:t>Formåle</w:t>
      </w:r>
      <w:r w:rsidR="00741D6B">
        <w:rPr>
          <w:rFonts w:asciiTheme="majorHAnsi" w:hAnsiTheme="majorHAnsi" w:cstheme="majorHAnsi"/>
        </w:rPr>
        <w:t>t med dette notatet er å er gi U</w:t>
      </w:r>
      <w:r w:rsidRPr="00BF3AE7">
        <w:rPr>
          <w:rFonts w:asciiTheme="majorHAnsi" w:hAnsiTheme="majorHAnsi" w:cstheme="majorHAnsi"/>
        </w:rPr>
        <w:t xml:space="preserve">niversitets- og høyskolelovutvalget, som ble oppnevnt av Kunnskapsdepartementet 22. juni 2018, et </w:t>
      </w:r>
      <w:r w:rsidR="006E2FC0" w:rsidRPr="00BF3AE7">
        <w:rPr>
          <w:rFonts w:asciiTheme="majorHAnsi" w:hAnsiTheme="majorHAnsi" w:cstheme="majorHAnsi"/>
        </w:rPr>
        <w:t xml:space="preserve">generelt </w:t>
      </w:r>
      <w:r w:rsidRPr="00BF3AE7">
        <w:rPr>
          <w:rFonts w:asciiTheme="majorHAnsi" w:hAnsiTheme="majorHAnsi" w:cstheme="majorHAnsi"/>
        </w:rPr>
        <w:t xml:space="preserve">innspill </w:t>
      </w:r>
      <w:r w:rsidR="006E2FC0" w:rsidRPr="00BF3AE7">
        <w:rPr>
          <w:rFonts w:asciiTheme="majorHAnsi" w:hAnsiTheme="majorHAnsi" w:cstheme="majorHAnsi"/>
        </w:rPr>
        <w:t>knyttet til</w:t>
      </w:r>
      <w:r w:rsidRPr="00BF3AE7">
        <w:rPr>
          <w:rFonts w:asciiTheme="majorHAnsi" w:hAnsiTheme="majorHAnsi" w:cstheme="majorHAnsi"/>
        </w:rPr>
        <w:t xml:space="preserve"> universitets- og høyskoleloven</w:t>
      </w:r>
      <w:r w:rsidR="00844EE4">
        <w:rPr>
          <w:rStyle w:val="Fotnotereferanse"/>
          <w:rFonts w:asciiTheme="majorHAnsi" w:hAnsiTheme="majorHAnsi" w:cstheme="majorHAnsi"/>
        </w:rPr>
        <w:footnoteReference w:id="1"/>
      </w:r>
      <w:r w:rsidRPr="00BF3AE7">
        <w:rPr>
          <w:rFonts w:asciiTheme="majorHAnsi" w:hAnsiTheme="majorHAnsi" w:cstheme="majorHAnsi"/>
        </w:rPr>
        <w:t xml:space="preserve">. </w:t>
      </w:r>
    </w:p>
    <w:p w14:paraId="508BCBC5" w14:textId="77777777" w:rsidR="005E02A0" w:rsidRPr="00BF3AE7" w:rsidRDefault="005E02A0" w:rsidP="00171CC3">
      <w:pPr>
        <w:rPr>
          <w:rFonts w:asciiTheme="majorHAnsi" w:hAnsiTheme="majorHAnsi" w:cstheme="majorHAnsi"/>
        </w:rPr>
      </w:pPr>
    </w:p>
    <w:p w14:paraId="51FA43AB" w14:textId="306702B0" w:rsidR="00C039CD" w:rsidRPr="00BF3AE7" w:rsidRDefault="00D93B0C" w:rsidP="00171CC3">
      <w:pPr>
        <w:rPr>
          <w:rFonts w:asciiTheme="majorHAnsi" w:hAnsiTheme="majorHAnsi" w:cstheme="majorHAnsi"/>
        </w:rPr>
      </w:pPr>
      <w:r w:rsidRPr="00BF3AE7">
        <w:rPr>
          <w:rFonts w:asciiTheme="majorHAnsi" w:hAnsiTheme="majorHAnsi" w:cstheme="majorHAnsi"/>
        </w:rPr>
        <w:t>Overordnet ønsker NO</w:t>
      </w:r>
      <w:r w:rsidR="00741D6B">
        <w:rPr>
          <w:rFonts w:asciiTheme="majorHAnsi" w:hAnsiTheme="majorHAnsi" w:cstheme="majorHAnsi"/>
        </w:rPr>
        <w:t>KUT at det i forbindelse med Universitets- og høyskoleu</w:t>
      </w:r>
      <w:r w:rsidRPr="00BF3AE7">
        <w:rPr>
          <w:rFonts w:asciiTheme="majorHAnsi" w:hAnsiTheme="majorHAnsi" w:cstheme="majorHAnsi"/>
        </w:rPr>
        <w:t xml:space="preserve">tvalgets arbeid rettes fokus mot </w:t>
      </w:r>
      <w:r w:rsidR="0080474C" w:rsidRPr="00BF3AE7">
        <w:rPr>
          <w:rFonts w:asciiTheme="majorHAnsi" w:hAnsiTheme="majorHAnsi" w:cstheme="majorHAnsi"/>
        </w:rPr>
        <w:t xml:space="preserve">hva </w:t>
      </w:r>
      <w:r w:rsidR="00FD239D" w:rsidRPr="00BF3AE7">
        <w:rPr>
          <w:rFonts w:asciiTheme="majorHAnsi" w:hAnsiTheme="majorHAnsi" w:cstheme="majorHAnsi"/>
        </w:rPr>
        <w:t>i</w:t>
      </w:r>
      <w:r w:rsidR="00225EE7" w:rsidRPr="00BF3AE7">
        <w:rPr>
          <w:rFonts w:asciiTheme="majorHAnsi" w:hAnsiTheme="majorHAnsi" w:cstheme="majorHAnsi"/>
        </w:rPr>
        <w:t xml:space="preserve"> universitets- og høyskolesektoren som egner seg for rettslig regulering</w:t>
      </w:r>
      <w:r w:rsidR="00F9292F" w:rsidRPr="00BF3AE7">
        <w:rPr>
          <w:rFonts w:asciiTheme="majorHAnsi" w:hAnsiTheme="majorHAnsi" w:cstheme="majorHAnsi"/>
        </w:rPr>
        <w:t xml:space="preserve">. </w:t>
      </w:r>
      <w:r w:rsidR="004F0BB4">
        <w:rPr>
          <w:rFonts w:asciiTheme="majorHAnsi" w:hAnsiTheme="majorHAnsi" w:cstheme="majorHAnsi"/>
        </w:rPr>
        <w:t>Vår hovedproblemstilling er om u</w:t>
      </w:r>
      <w:r w:rsidR="00E80219" w:rsidRPr="00BF3AE7">
        <w:rPr>
          <w:rFonts w:asciiTheme="majorHAnsi" w:hAnsiTheme="majorHAnsi" w:cstheme="majorHAnsi"/>
        </w:rPr>
        <w:t>niversitets- og høyskoleloven</w:t>
      </w:r>
      <w:r w:rsidR="00BB50EB">
        <w:rPr>
          <w:rFonts w:asciiTheme="majorHAnsi" w:hAnsiTheme="majorHAnsi" w:cstheme="majorHAnsi"/>
        </w:rPr>
        <w:t xml:space="preserve"> </w:t>
      </w:r>
      <w:r w:rsidR="00E80219" w:rsidRPr="00BF3AE7">
        <w:rPr>
          <w:rFonts w:asciiTheme="majorHAnsi" w:hAnsiTheme="majorHAnsi" w:cstheme="majorHAnsi"/>
        </w:rPr>
        <w:t>og underliggende forskrifter har en optimal balanse mellom det å oppstille minstekrav og det å samtidig gi det handlings- og utviklingsrommet som er formålstjenlig for at universiteter og høyskoler skal kunne realisere målsettingen om å drive virksomhe</w:t>
      </w:r>
      <w:r w:rsidR="0065280E">
        <w:rPr>
          <w:rFonts w:asciiTheme="majorHAnsi" w:hAnsiTheme="majorHAnsi" w:cstheme="majorHAnsi"/>
        </w:rPr>
        <w:t xml:space="preserve">t på høyt internasjonalt nivå. </w:t>
      </w:r>
      <w:r w:rsidR="00F9292F" w:rsidRPr="00BF3AE7">
        <w:rPr>
          <w:rFonts w:asciiTheme="majorHAnsi" w:hAnsiTheme="majorHAnsi" w:cstheme="majorHAnsi"/>
        </w:rPr>
        <w:t>I tillegg ønsker vi å fremheve</w:t>
      </w:r>
      <w:r w:rsidR="0080474C" w:rsidRPr="00BF3AE7">
        <w:rPr>
          <w:rFonts w:asciiTheme="majorHAnsi" w:hAnsiTheme="majorHAnsi" w:cstheme="majorHAnsi"/>
        </w:rPr>
        <w:t xml:space="preserve"> </w:t>
      </w:r>
      <w:r w:rsidRPr="00BF3AE7">
        <w:rPr>
          <w:rFonts w:asciiTheme="majorHAnsi" w:hAnsiTheme="majorHAnsi" w:cstheme="majorHAnsi"/>
        </w:rPr>
        <w:t xml:space="preserve">behovet for en opprydning i </w:t>
      </w:r>
      <w:r w:rsidR="005279A7" w:rsidRPr="00BF3AE7">
        <w:rPr>
          <w:rFonts w:asciiTheme="majorHAnsi" w:hAnsiTheme="majorHAnsi" w:cstheme="majorHAnsi"/>
        </w:rPr>
        <w:t>lov- og forskrifts</w:t>
      </w:r>
      <w:r w:rsidRPr="00BF3AE7">
        <w:rPr>
          <w:rFonts w:asciiTheme="majorHAnsi" w:hAnsiTheme="majorHAnsi" w:cstheme="majorHAnsi"/>
        </w:rPr>
        <w:t>struktur</w:t>
      </w:r>
      <w:r w:rsidR="005443B8" w:rsidRPr="00BF3AE7">
        <w:rPr>
          <w:rFonts w:asciiTheme="majorHAnsi" w:hAnsiTheme="majorHAnsi" w:cstheme="majorHAnsi"/>
        </w:rPr>
        <w:t>en</w:t>
      </w:r>
      <w:r w:rsidRPr="00BF3AE7">
        <w:rPr>
          <w:rFonts w:asciiTheme="majorHAnsi" w:hAnsiTheme="majorHAnsi" w:cstheme="majorHAnsi"/>
        </w:rPr>
        <w:t xml:space="preserve">. </w:t>
      </w:r>
    </w:p>
    <w:p w14:paraId="4BF7A076" w14:textId="77777777" w:rsidR="00C039CD" w:rsidRPr="00BF3AE7" w:rsidRDefault="00C039CD" w:rsidP="00171CC3">
      <w:pPr>
        <w:rPr>
          <w:rFonts w:asciiTheme="majorHAnsi" w:hAnsiTheme="majorHAnsi" w:cstheme="majorHAnsi"/>
        </w:rPr>
      </w:pPr>
    </w:p>
    <w:p w14:paraId="3121598F" w14:textId="0902D024" w:rsidR="00B76CC2" w:rsidRPr="00BF3AE7" w:rsidRDefault="00D93B0C" w:rsidP="00171CC3">
      <w:pPr>
        <w:rPr>
          <w:rFonts w:asciiTheme="majorHAnsi" w:hAnsiTheme="majorHAnsi" w:cstheme="majorHAnsi"/>
        </w:rPr>
      </w:pPr>
      <w:r w:rsidRPr="00BF3AE7">
        <w:rPr>
          <w:rFonts w:asciiTheme="majorHAnsi" w:hAnsiTheme="majorHAnsi" w:cstheme="majorHAnsi"/>
        </w:rPr>
        <w:t>I det følgende pekes det på noen konkrete utford</w:t>
      </w:r>
      <w:r w:rsidR="00E5442A" w:rsidRPr="00BF3AE7">
        <w:rPr>
          <w:rFonts w:asciiTheme="majorHAnsi" w:hAnsiTheme="majorHAnsi" w:cstheme="majorHAnsi"/>
        </w:rPr>
        <w:t>ringer som NOKUT har merket seg.</w:t>
      </w:r>
      <w:r w:rsidR="00D86C85" w:rsidRPr="00BF3AE7">
        <w:rPr>
          <w:rFonts w:asciiTheme="majorHAnsi" w:hAnsiTheme="majorHAnsi" w:cstheme="majorHAnsi"/>
        </w:rPr>
        <w:t xml:space="preserve"> </w:t>
      </w:r>
      <w:r w:rsidR="00225EE7" w:rsidRPr="00BF3AE7">
        <w:rPr>
          <w:rFonts w:asciiTheme="majorHAnsi" w:hAnsiTheme="majorHAnsi" w:cstheme="majorHAnsi"/>
        </w:rPr>
        <w:t>Det tas for øvrig forbehold om at dette ikke er en uttømmende angivelse, men en skisse av enkelte hovedproblemstillinger.</w:t>
      </w:r>
    </w:p>
    <w:p w14:paraId="5FDD5B19" w14:textId="5C504D9A" w:rsidR="006D2F6F" w:rsidRDefault="006D2F6F" w:rsidP="00AF58EA">
      <w:pPr>
        <w:pStyle w:val="Overskrift1"/>
        <w:numPr>
          <w:ilvl w:val="0"/>
          <w:numId w:val="11"/>
        </w:numPr>
        <w:rPr>
          <w:rFonts w:cstheme="majorHAnsi"/>
        </w:rPr>
      </w:pPr>
      <w:bookmarkStart w:id="2" w:name="_Toc12631427"/>
      <w:r w:rsidRPr="00BF3AE7">
        <w:rPr>
          <w:rFonts w:cstheme="majorHAnsi"/>
        </w:rPr>
        <w:lastRenderedPageBreak/>
        <w:t>Regulering av kvalitet</w:t>
      </w:r>
      <w:bookmarkEnd w:id="2"/>
    </w:p>
    <w:p w14:paraId="31215990" w14:textId="77777777" w:rsidR="00AF58EA" w:rsidRPr="00BF3AE7" w:rsidRDefault="00AF58EA" w:rsidP="006D2F6F">
      <w:pPr>
        <w:pStyle w:val="Overskrift1"/>
        <w:numPr>
          <w:ilvl w:val="1"/>
          <w:numId w:val="11"/>
        </w:numPr>
        <w:rPr>
          <w:rFonts w:cstheme="majorHAnsi"/>
        </w:rPr>
      </w:pPr>
      <w:bookmarkStart w:id="3" w:name="_Toc12631428"/>
      <w:r w:rsidRPr="00BF3AE7">
        <w:rPr>
          <w:rFonts w:cstheme="majorHAnsi"/>
        </w:rPr>
        <w:t>Rettslig regulering som virkemiddel</w:t>
      </w:r>
      <w:bookmarkEnd w:id="3"/>
      <w:r w:rsidRPr="00BF3AE7">
        <w:rPr>
          <w:rFonts w:cstheme="majorHAnsi"/>
        </w:rPr>
        <w:t xml:space="preserve"> </w:t>
      </w:r>
    </w:p>
    <w:p w14:paraId="447B57EB" w14:textId="710C7A03" w:rsidR="00E26D6B" w:rsidRPr="00BF3AE7" w:rsidRDefault="00AF58EA" w:rsidP="00AF58EA">
      <w:pPr>
        <w:spacing w:line="276" w:lineRule="auto"/>
        <w:rPr>
          <w:rFonts w:asciiTheme="majorHAnsi" w:hAnsiTheme="majorHAnsi" w:cstheme="majorHAnsi"/>
        </w:rPr>
      </w:pPr>
      <w:r w:rsidRPr="00BF3AE7">
        <w:rPr>
          <w:rFonts w:asciiTheme="majorHAnsi" w:hAnsiTheme="majorHAnsi" w:cstheme="majorHAnsi"/>
        </w:rPr>
        <w:t xml:space="preserve">En </w:t>
      </w:r>
      <w:r w:rsidR="0080249E" w:rsidRPr="00BF3AE7">
        <w:rPr>
          <w:rFonts w:asciiTheme="majorHAnsi" w:hAnsiTheme="majorHAnsi" w:cstheme="majorHAnsi"/>
        </w:rPr>
        <w:t>grunnleggende forutsetning</w:t>
      </w:r>
      <w:r w:rsidRPr="00BF3AE7">
        <w:rPr>
          <w:rFonts w:asciiTheme="majorHAnsi" w:hAnsiTheme="majorHAnsi" w:cstheme="majorHAnsi"/>
        </w:rPr>
        <w:t xml:space="preserve"> for at styring skal ha intendert effekt er at den som styres </w:t>
      </w:r>
      <w:r w:rsidR="00E80219" w:rsidRPr="00BF3AE7">
        <w:rPr>
          <w:rFonts w:asciiTheme="majorHAnsi" w:hAnsiTheme="majorHAnsi" w:cstheme="majorHAnsi"/>
        </w:rPr>
        <w:t xml:space="preserve">kan </w:t>
      </w:r>
      <w:r w:rsidRPr="00BF3AE7">
        <w:rPr>
          <w:rFonts w:asciiTheme="majorHAnsi" w:hAnsiTheme="majorHAnsi" w:cstheme="majorHAnsi"/>
        </w:rPr>
        <w:t xml:space="preserve"> forstå styringssignalene</w:t>
      </w:r>
      <w:r w:rsidR="00475486" w:rsidRPr="00BF3AE7">
        <w:rPr>
          <w:rFonts w:asciiTheme="majorHAnsi" w:hAnsiTheme="majorHAnsi" w:cstheme="majorHAnsi"/>
        </w:rPr>
        <w:t xml:space="preserve"> uten for store anstrengelser</w:t>
      </w:r>
      <w:r w:rsidR="00EA09E7" w:rsidRPr="00BF3AE7">
        <w:rPr>
          <w:rFonts w:asciiTheme="majorHAnsi" w:hAnsiTheme="majorHAnsi" w:cstheme="majorHAnsi"/>
        </w:rPr>
        <w:t>. N</w:t>
      </w:r>
      <w:r w:rsidRPr="00BF3AE7">
        <w:rPr>
          <w:rFonts w:asciiTheme="majorHAnsi" w:hAnsiTheme="majorHAnsi" w:cstheme="majorHAnsi"/>
        </w:rPr>
        <w:t>ytten av lov</w:t>
      </w:r>
      <w:r w:rsidR="00E26D6B" w:rsidRPr="00BF3AE7">
        <w:rPr>
          <w:rFonts w:asciiTheme="majorHAnsi" w:hAnsiTheme="majorHAnsi" w:cstheme="majorHAnsi"/>
        </w:rPr>
        <w:t xml:space="preserve">givning som styringsmiddel vil </w:t>
      </w:r>
      <w:r w:rsidRPr="00BF3AE7">
        <w:rPr>
          <w:rFonts w:asciiTheme="majorHAnsi" w:hAnsiTheme="majorHAnsi" w:cstheme="majorHAnsi"/>
        </w:rPr>
        <w:t xml:space="preserve">være begrenset til hva </w:t>
      </w:r>
      <w:r w:rsidR="00DA12FD" w:rsidRPr="00BF3AE7">
        <w:rPr>
          <w:rFonts w:asciiTheme="majorHAnsi" w:hAnsiTheme="majorHAnsi" w:cstheme="majorHAnsi"/>
        </w:rPr>
        <w:t>institusjonene</w:t>
      </w:r>
      <w:r w:rsidRPr="00BF3AE7">
        <w:rPr>
          <w:rFonts w:asciiTheme="majorHAnsi" w:hAnsiTheme="majorHAnsi" w:cstheme="majorHAnsi"/>
        </w:rPr>
        <w:t xml:space="preserve"> kan forventes å forstå at de er forpliktet til. </w:t>
      </w:r>
      <w:r w:rsidR="00475486" w:rsidRPr="00BF3AE7">
        <w:rPr>
          <w:rFonts w:asciiTheme="majorHAnsi" w:hAnsiTheme="majorHAnsi" w:cstheme="majorHAnsi"/>
        </w:rPr>
        <w:t>Ved</w:t>
      </w:r>
      <w:r w:rsidR="00DB7E78" w:rsidRPr="00BF3AE7">
        <w:rPr>
          <w:rFonts w:asciiTheme="majorHAnsi" w:hAnsiTheme="majorHAnsi" w:cstheme="majorHAnsi"/>
        </w:rPr>
        <w:t xml:space="preserve"> bruk av rettslige styrings</w:t>
      </w:r>
      <w:r w:rsidR="00475486" w:rsidRPr="00BF3AE7">
        <w:rPr>
          <w:rFonts w:asciiTheme="majorHAnsi" w:hAnsiTheme="majorHAnsi" w:cstheme="majorHAnsi"/>
        </w:rPr>
        <w:t>midler vil følgelig det å gjøre regelverket så forståelig o</w:t>
      </w:r>
      <w:r w:rsidR="00DC13B2">
        <w:rPr>
          <w:rFonts w:asciiTheme="majorHAnsi" w:hAnsiTheme="majorHAnsi" w:cstheme="majorHAnsi"/>
        </w:rPr>
        <w:t xml:space="preserve">g oversiktlig som mulig være </w:t>
      </w:r>
      <w:r w:rsidR="00475486" w:rsidRPr="00BF3AE7">
        <w:rPr>
          <w:rFonts w:asciiTheme="majorHAnsi" w:hAnsiTheme="majorHAnsi" w:cstheme="majorHAnsi"/>
        </w:rPr>
        <w:t>sentral</w:t>
      </w:r>
      <w:r w:rsidR="001F47B4" w:rsidRPr="00BF3AE7">
        <w:rPr>
          <w:rFonts w:asciiTheme="majorHAnsi" w:hAnsiTheme="majorHAnsi" w:cstheme="majorHAnsi"/>
        </w:rPr>
        <w:t xml:space="preserve">t </w:t>
      </w:r>
      <w:r w:rsidR="00475486" w:rsidRPr="00BF3AE7">
        <w:rPr>
          <w:rFonts w:asciiTheme="majorHAnsi" w:hAnsiTheme="majorHAnsi" w:cstheme="majorHAnsi"/>
        </w:rPr>
        <w:t xml:space="preserve">for å oppnå styringseffekt. </w:t>
      </w:r>
    </w:p>
    <w:p w14:paraId="415C4520" w14:textId="790409A7" w:rsidR="00D815E2" w:rsidRPr="00BF3AE7" w:rsidRDefault="006D2F6F" w:rsidP="006D2F6F">
      <w:pPr>
        <w:pStyle w:val="Overskrift1"/>
        <w:numPr>
          <w:ilvl w:val="1"/>
          <w:numId w:val="11"/>
        </w:numPr>
        <w:rPr>
          <w:rFonts w:cstheme="majorHAnsi"/>
        </w:rPr>
      </w:pPr>
      <w:bookmarkStart w:id="4" w:name="_Toc12631429"/>
      <w:r>
        <w:rPr>
          <w:rFonts w:cstheme="majorHAnsi"/>
        </w:rPr>
        <w:t>K</w:t>
      </w:r>
      <w:r w:rsidR="00D815E2" w:rsidRPr="00BF3AE7">
        <w:rPr>
          <w:rFonts w:cstheme="majorHAnsi"/>
        </w:rPr>
        <w:t>valitetssikrer og kvalitetsutvikler</w:t>
      </w:r>
      <w:bookmarkEnd w:id="4"/>
    </w:p>
    <w:p w14:paraId="18117CC1" w14:textId="1C45FA00" w:rsidR="006450B8" w:rsidRPr="00BF3AE7" w:rsidRDefault="00E80219" w:rsidP="00D815E2">
      <w:pPr>
        <w:spacing w:line="276" w:lineRule="auto"/>
        <w:rPr>
          <w:rFonts w:asciiTheme="majorHAnsi" w:hAnsiTheme="majorHAnsi" w:cstheme="majorHAnsi"/>
        </w:rPr>
      </w:pPr>
      <w:r w:rsidRPr="00BF3AE7">
        <w:rPr>
          <w:rFonts w:asciiTheme="majorHAnsi" w:hAnsiTheme="majorHAnsi" w:cstheme="majorHAnsi"/>
        </w:rPr>
        <w:t xml:space="preserve">Det råder allmenn enighet om </w:t>
      </w:r>
      <w:r w:rsidR="00D815E2" w:rsidRPr="00BF3AE7">
        <w:rPr>
          <w:rFonts w:asciiTheme="majorHAnsi" w:hAnsiTheme="majorHAnsi" w:cstheme="majorHAnsi"/>
        </w:rPr>
        <w:t>at staten bør søke å legge til rette for og motivere institus</w:t>
      </w:r>
      <w:r w:rsidR="006450B8" w:rsidRPr="00BF3AE7">
        <w:rPr>
          <w:rFonts w:asciiTheme="majorHAnsi" w:hAnsiTheme="majorHAnsi" w:cstheme="majorHAnsi"/>
        </w:rPr>
        <w:t xml:space="preserve">jonene </w:t>
      </w:r>
      <w:r w:rsidR="009A3AC0" w:rsidRPr="00BF3AE7">
        <w:rPr>
          <w:rFonts w:asciiTheme="majorHAnsi" w:hAnsiTheme="majorHAnsi" w:cstheme="majorHAnsi"/>
        </w:rPr>
        <w:t xml:space="preserve">til å </w:t>
      </w:r>
      <w:r w:rsidR="006450B8" w:rsidRPr="00BF3AE7">
        <w:rPr>
          <w:rFonts w:asciiTheme="majorHAnsi" w:hAnsiTheme="majorHAnsi" w:cstheme="majorHAnsi"/>
        </w:rPr>
        <w:t xml:space="preserve">holde høy kvalitet. Det er likevel ikke </w:t>
      </w:r>
      <w:r w:rsidR="00D815E2" w:rsidRPr="00BF3AE7">
        <w:rPr>
          <w:rFonts w:asciiTheme="majorHAnsi" w:hAnsiTheme="majorHAnsi" w:cstheme="majorHAnsi"/>
        </w:rPr>
        <w:t xml:space="preserve">åpenbart at regulering i lovgivningen representerer </w:t>
      </w:r>
      <w:r w:rsidR="008321E6" w:rsidRPr="00BF3AE7">
        <w:rPr>
          <w:rFonts w:asciiTheme="majorHAnsi" w:hAnsiTheme="majorHAnsi" w:cstheme="majorHAnsi"/>
        </w:rPr>
        <w:t>d</w:t>
      </w:r>
      <w:r w:rsidR="00D815E2" w:rsidRPr="00BF3AE7">
        <w:rPr>
          <w:rFonts w:asciiTheme="majorHAnsi" w:hAnsiTheme="majorHAnsi" w:cstheme="majorHAnsi"/>
        </w:rPr>
        <w:t xml:space="preserve">en </w:t>
      </w:r>
      <w:r w:rsidR="008321E6" w:rsidRPr="00BF3AE7">
        <w:rPr>
          <w:rFonts w:asciiTheme="majorHAnsi" w:hAnsiTheme="majorHAnsi" w:cstheme="majorHAnsi"/>
        </w:rPr>
        <w:t xml:space="preserve">mest </w:t>
      </w:r>
      <w:r w:rsidR="00D815E2" w:rsidRPr="00BF3AE7">
        <w:rPr>
          <w:rFonts w:asciiTheme="majorHAnsi" w:hAnsiTheme="majorHAnsi" w:cstheme="majorHAnsi"/>
        </w:rPr>
        <w:t>effektiv</w:t>
      </w:r>
      <w:r w:rsidR="008321E6" w:rsidRPr="00BF3AE7">
        <w:rPr>
          <w:rFonts w:asciiTheme="majorHAnsi" w:hAnsiTheme="majorHAnsi" w:cstheme="majorHAnsi"/>
        </w:rPr>
        <w:t>e</w:t>
      </w:r>
      <w:r w:rsidR="00D815E2" w:rsidRPr="00BF3AE7">
        <w:rPr>
          <w:rFonts w:asciiTheme="majorHAnsi" w:hAnsiTheme="majorHAnsi" w:cstheme="majorHAnsi"/>
        </w:rPr>
        <w:t xml:space="preserve"> virkemiddelbruk</w:t>
      </w:r>
      <w:r w:rsidR="008321E6" w:rsidRPr="00BF3AE7">
        <w:rPr>
          <w:rFonts w:asciiTheme="majorHAnsi" w:hAnsiTheme="majorHAnsi" w:cstheme="majorHAnsi"/>
        </w:rPr>
        <w:t>en</w:t>
      </w:r>
      <w:r w:rsidR="00D815E2" w:rsidRPr="00BF3AE7">
        <w:rPr>
          <w:rFonts w:asciiTheme="majorHAnsi" w:hAnsiTheme="majorHAnsi" w:cstheme="majorHAnsi"/>
        </w:rPr>
        <w:t xml:space="preserve">. </w:t>
      </w:r>
      <w:r w:rsidR="00A959E8" w:rsidRPr="00BF3AE7">
        <w:rPr>
          <w:rFonts w:asciiTheme="majorHAnsi" w:hAnsiTheme="majorHAnsi" w:cstheme="majorHAnsi"/>
        </w:rPr>
        <w:t xml:space="preserve">Lovlighetskontroll som verktøy må brukes der det er egnet, </w:t>
      </w:r>
      <w:r w:rsidR="00520D48" w:rsidRPr="00BF3AE7">
        <w:rPr>
          <w:rFonts w:asciiTheme="majorHAnsi" w:hAnsiTheme="majorHAnsi" w:cstheme="majorHAnsi"/>
        </w:rPr>
        <w:t>og det er</w:t>
      </w:r>
      <w:r w:rsidR="00F00B06" w:rsidRPr="00BF3AE7">
        <w:rPr>
          <w:rFonts w:asciiTheme="majorHAnsi" w:hAnsiTheme="majorHAnsi" w:cstheme="majorHAnsi"/>
        </w:rPr>
        <w:t xml:space="preserve"> viktig å </w:t>
      </w:r>
      <w:r w:rsidR="00520D48" w:rsidRPr="00BF3AE7">
        <w:rPr>
          <w:rFonts w:asciiTheme="majorHAnsi" w:hAnsiTheme="majorHAnsi" w:cstheme="majorHAnsi"/>
        </w:rPr>
        <w:t>ha</w:t>
      </w:r>
      <w:r w:rsidR="00F00B06" w:rsidRPr="00BF3AE7">
        <w:rPr>
          <w:rFonts w:asciiTheme="majorHAnsi" w:hAnsiTheme="majorHAnsi" w:cstheme="majorHAnsi"/>
        </w:rPr>
        <w:t xml:space="preserve"> et realistisk perspektiv på effekten av lovregulering og lovlighetskontroll.</w:t>
      </w:r>
      <w:r w:rsidR="00CC100C" w:rsidRPr="00BF3AE7">
        <w:rPr>
          <w:rFonts w:asciiTheme="majorHAnsi" w:hAnsiTheme="majorHAnsi" w:cstheme="majorHAnsi"/>
        </w:rPr>
        <w:t xml:space="preserve"> </w:t>
      </w:r>
    </w:p>
    <w:p w14:paraId="79FA27D3" w14:textId="77777777" w:rsidR="006450B8" w:rsidRPr="00BF3AE7" w:rsidRDefault="006450B8" w:rsidP="00D815E2">
      <w:pPr>
        <w:spacing w:line="276" w:lineRule="auto"/>
        <w:rPr>
          <w:rFonts w:asciiTheme="majorHAnsi" w:hAnsiTheme="majorHAnsi" w:cstheme="majorHAnsi"/>
        </w:rPr>
      </w:pPr>
    </w:p>
    <w:p w14:paraId="582FB974" w14:textId="0079237C" w:rsidR="0045142E" w:rsidRPr="00BF3AE7" w:rsidRDefault="00D03DE9" w:rsidP="00D815E2">
      <w:pPr>
        <w:spacing w:line="276" w:lineRule="auto"/>
        <w:rPr>
          <w:rFonts w:asciiTheme="majorHAnsi" w:hAnsiTheme="majorHAnsi" w:cstheme="majorHAnsi"/>
        </w:rPr>
      </w:pPr>
      <w:r w:rsidRPr="00BF3AE7">
        <w:rPr>
          <w:rFonts w:asciiTheme="majorHAnsi" w:hAnsiTheme="majorHAnsi" w:cstheme="majorHAnsi"/>
        </w:rPr>
        <w:t>Gjennomgående vil vi anføre at lovfesting kan være nyttig for å etablere en del minstestandarder</w:t>
      </w:r>
      <w:r w:rsidR="00CC100C" w:rsidRPr="00BF3AE7">
        <w:rPr>
          <w:rFonts w:asciiTheme="majorHAnsi" w:hAnsiTheme="majorHAnsi" w:cstheme="majorHAnsi"/>
        </w:rPr>
        <w:t>, men e</w:t>
      </w:r>
      <w:r w:rsidR="00D815E2" w:rsidRPr="00BF3AE7">
        <w:rPr>
          <w:rFonts w:asciiTheme="majorHAnsi" w:hAnsiTheme="majorHAnsi" w:cstheme="majorHAnsi"/>
        </w:rPr>
        <w:t>n for</w:t>
      </w:r>
      <w:r w:rsidR="000C2E64">
        <w:rPr>
          <w:rFonts w:asciiTheme="majorHAnsi" w:hAnsiTheme="majorHAnsi" w:cstheme="majorHAnsi"/>
        </w:rPr>
        <w:t>utsetning for at regulering av kvalitet</w:t>
      </w:r>
      <w:r w:rsidR="00D815E2" w:rsidRPr="00BF3AE7">
        <w:rPr>
          <w:rFonts w:asciiTheme="majorHAnsi" w:hAnsiTheme="majorHAnsi" w:cstheme="majorHAnsi"/>
        </w:rPr>
        <w:t xml:space="preserve"> s</w:t>
      </w:r>
      <w:r w:rsidR="00CC100C" w:rsidRPr="00BF3AE7">
        <w:rPr>
          <w:rFonts w:asciiTheme="majorHAnsi" w:hAnsiTheme="majorHAnsi" w:cstheme="majorHAnsi"/>
        </w:rPr>
        <w:t xml:space="preserve">kal ha en reell styringseffekt </w:t>
      </w:r>
      <w:r w:rsidR="00D815E2" w:rsidRPr="00BF3AE7">
        <w:rPr>
          <w:rFonts w:asciiTheme="majorHAnsi" w:hAnsiTheme="majorHAnsi" w:cstheme="majorHAnsi"/>
        </w:rPr>
        <w:t>er</w:t>
      </w:r>
      <w:r w:rsidR="00CC100C" w:rsidRPr="00BF3AE7">
        <w:rPr>
          <w:rFonts w:asciiTheme="majorHAnsi" w:hAnsiTheme="majorHAnsi" w:cstheme="majorHAnsi"/>
        </w:rPr>
        <w:t xml:space="preserve"> som nevnt</w:t>
      </w:r>
      <w:r w:rsidR="00D815E2" w:rsidRPr="00BF3AE7">
        <w:rPr>
          <w:rFonts w:asciiTheme="majorHAnsi" w:hAnsiTheme="majorHAnsi" w:cstheme="majorHAnsi"/>
        </w:rPr>
        <w:t xml:space="preserve"> at det er mulig å forstå hva det</w:t>
      </w:r>
      <w:r w:rsidR="00CC100C" w:rsidRPr="00BF3AE7">
        <w:rPr>
          <w:rFonts w:asciiTheme="majorHAnsi" w:hAnsiTheme="majorHAnsi" w:cstheme="majorHAnsi"/>
        </w:rPr>
        <w:t>te</w:t>
      </w:r>
      <w:r w:rsidR="00D815E2" w:rsidRPr="00BF3AE7">
        <w:rPr>
          <w:rFonts w:asciiTheme="majorHAnsi" w:hAnsiTheme="majorHAnsi" w:cstheme="majorHAnsi"/>
        </w:rPr>
        <w:t xml:space="preserve"> innebærer av forpliktelser. </w:t>
      </w:r>
      <w:r w:rsidR="00A83A74" w:rsidRPr="00BF3AE7">
        <w:rPr>
          <w:rFonts w:asciiTheme="majorHAnsi" w:hAnsiTheme="majorHAnsi" w:cstheme="majorHAnsi"/>
        </w:rPr>
        <w:t>Det som anses nødvendig eller hensiktsmessig å regulere må kommuniseres i regelverket på en tydelig måte for å fung</w:t>
      </w:r>
      <w:r w:rsidR="00F9197F">
        <w:rPr>
          <w:rFonts w:asciiTheme="majorHAnsi" w:hAnsiTheme="majorHAnsi" w:cstheme="majorHAnsi"/>
        </w:rPr>
        <w:t xml:space="preserve">ere etter sin hensikt. Kravene </w:t>
      </w:r>
      <w:r w:rsidR="00A83A74" w:rsidRPr="00BF3AE7">
        <w:rPr>
          <w:rFonts w:asciiTheme="majorHAnsi" w:hAnsiTheme="majorHAnsi" w:cstheme="majorHAnsi"/>
        </w:rPr>
        <w:t>som påhviler institusjonene</w:t>
      </w:r>
      <w:r w:rsidR="00A83A74">
        <w:rPr>
          <w:rFonts w:asciiTheme="majorHAnsi" w:hAnsiTheme="majorHAnsi" w:cstheme="majorHAnsi"/>
        </w:rPr>
        <w:t>,</w:t>
      </w:r>
      <w:r w:rsidR="00A83A74" w:rsidRPr="00BF3AE7">
        <w:rPr>
          <w:rFonts w:asciiTheme="majorHAnsi" w:hAnsiTheme="majorHAnsi" w:cstheme="majorHAnsi"/>
        </w:rPr>
        <w:t xml:space="preserve"> som tilsynsmyndighetene forvalter</w:t>
      </w:r>
      <w:r w:rsidR="00A83A74">
        <w:rPr>
          <w:rFonts w:asciiTheme="majorHAnsi" w:hAnsiTheme="majorHAnsi" w:cstheme="majorHAnsi"/>
        </w:rPr>
        <w:t>,</w:t>
      </w:r>
      <w:r w:rsidR="00A83A74" w:rsidRPr="00BF3AE7">
        <w:rPr>
          <w:rFonts w:asciiTheme="majorHAnsi" w:hAnsiTheme="majorHAnsi" w:cstheme="majorHAnsi"/>
        </w:rPr>
        <w:t xml:space="preserve"> må være mulig å forstå og håndheves på en forutsigbar måte. </w:t>
      </w:r>
    </w:p>
    <w:p w14:paraId="646C462E" w14:textId="77777777" w:rsidR="0045142E" w:rsidRPr="00BF3AE7" w:rsidRDefault="0045142E" w:rsidP="00D815E2">
      <w:pPr>
        <w:spacing w:line="276" w:lineRule="auto"/>
        <w:rPr>
          <w:rFonts w:asciiTheme="majorHAnsi" w:hAnsiTheme="majorHAnsi" w:cstheme="majorHAnsi"/>
        </w:rPr>
      </w:pPr>
    </w:p>
    <w:p w14:paraId="2EB67B35" w14:textId="34853733" w:rsidR="002C5565" w:rsidRPr="00BF3AE7" w:rsidRDefault="00CC100C" w:rsidP="002C5565">
      <w:pPr>
        <w:spacing w:line="276" w:lineRule="auto"/>
        <w:rPr>
          <w:rFonts w:asciiTheme="majorHAnsi" w:hAnsiTheme="majorHAnsi" w:cstheme="majorHAnsi"/>
        </w:rPr>
      </w:pPr>
      <w:r w:rsidRPr="00BF3AE7">
        <w:rPr>
          <w:rFonts w:asciiTheme="majorHAnsi" w:hAnsiTheme="majorHAnsi" w:cstheme="majorHAnsi"/>
        </w:rPr>
        <w:t xml:space="preserve">I tillegg </w:t>
      </w:r>
      <w:r w:rsidR="00D815E2" w:rsidRPr="00BF3AE7">
        <w:rPr>
          <w:rFonts w:asciiTheme="majorHAnsi" w:hAnsiTheme="majorHAnsi" w:cstheme="majorHAnsi"/>
        </w:rPr>
        <w:t xml:space="preserve">må man ta høyde for at </w:t>
      </w:r>
      <w:r w:rsidRPr="00BF3AE7">
        <w:rPr>
          <w:rFonts w:asciiTheme="majorHAnsi" w:hAnsiTheme="majorHAnsi" w:cstheme="majorHAnsi"/>
        </w:rPr>
        <w:t>der kvalitet er en målsetting</w:t>
      </w:r>
      <w:r w:rsidR="00803353">
        <w:rPr>
          <w:rFonts w:asciiTheme="majorHAnsi" w:hAnsiTheme="majorHAnsi" w:cstheme="majorHAnsi"/>
        </w:rPr>
        <w:t>,</w:t>
      </w:r>
      <w:r w:rsidRPr="00BF3AE7">
        <w:rPr>
          <w:rFonts w:asciiTheme="majorHAnsi" w:hAnsiTheme="majorHAnsi" w:cstheme="majorHAnsi"/>
        </w:rPr>
        <w:t xml:space="preserve"> </w:t>
      </w:r>
      <w:r w:rsidR="00C41790" w:rsidRPr="00BF3AE7">
        <w:rPr>
          <w:rFonts w:asciiTheme="majorHAnsi" w:hAnsiTheme="majorHAnsi" w:cstheme="majorHAnsi"/>
        </w:rPr>
        <w:t>er dette som regel</w:t>
      </w:r>
      <w:r w:rsidR="00D815E2" w:rsidRPr="00BF3AE7">
        <w:rPr>
          <w:rFonts w:asciiTheme="majorHAnsi" w:hAnsiTheme="majorHAnsi" w:cstheme="majorHAnsi"/>
        </w:rPr>
        <w:t xml:space="preserve"> et mangefasettert og komplekst fenomen. Det vil som regel være et dynamisk felt som skal utvikles og med områder med </w:t>
      </w:r>
      <w:r w:rsidR="00E80219" w:rsidRPr="00BF3AE7">
        <w:rPr>
          <w:rFonts w:asciiTheme="majorHAnsi" w:hAnsiTheme="majorHAnsi" w:cstheme="majorHAnsi"/>
        </w:rPr>
        <w:t xml:space="preserve">lokale </w:t>
      </w:r>
      <w:r w:rsidR="00D815E2" w:rsidRPr="00BF3AE7">
        <w:rPr>
          <w:rFonts w:asciiTheme="majorHAnsi" w:hAnsiTheme="majorHAnsi" w:cstheme="majorHAnsi"/>
        </w:rPr>
        <w:t>forutsetninger.</w:t>
      </w:r>
      <w:r w:rsidR="00C41790" w:rsidRPr="00BF3AE7">
        <w:rPr>
          <w:rFonts w:asciiTheme="majorHAnsi" w:hAnsiTheme="majorHAnsi" w:cstheme="majorHAnsi"/>
        </w:rPr>
        <w:t xml:space="preserve"> </w:t>
      </w:r>
      <w:r w:rsidR="00D543A8" w:rsidRPr="00BF3AE7">
        <w:rPr>
          <w:rFonts w:asciiTheme="majorHAnsi" w:hAnsiTheme="majorHAnsi" w:cstheme="majorHAnsi"/>
        </w:rPr>
        <w:t xml:space="preserve">Kontroll og veiledningsoppgaver må organiseres slik at kompleksiteten ikke underkjennes. </w:t>
      </w:r>
      <w:r w:rsidR="00D815E2" w:rsidRPr="00BF3AE7">
        <w:rPr>
          <w:rFonts w:asciiTheme="majorHAnsi" w:hAnsiTheme="majorHAnsi" w:cstheme="majorHAnsi"/>
        </w:rPr>
        <w:t xml:space="preserve">Det vil derfor i mange sammenhenger </w:t>
      </w:r>
      <w:r w:rsidR="00417BE7" w:rsidRPr="00BF3AE7">
        <w:rPr>
          <w:rFonts w:asciiTheme="majorHAnsi" w:hAnsiTheme="majorHAnsi" w:cstheme="majorHAnsi"/>
        </w:rPr>
        <w:t xml:space="preserve">ikke nødvendigvis være den beste løsningen å </w:t>
      </w:r>
      <w:r w:rsidR="00D815E2" w:rsidRPr="00BF3AE7">
        <w:rPr>
          <w:rFonts w:asciiTheme="majorHAnsi" w:hAnsiTheme="majorHAnsi" w:cstheme="majorHAnsi"/>
        </w:rPr>
        <w:t>være mer konkret i rettsgrunnlaget</w:t>
      </w:r>
      <w:r w:rsidR="00C46ABE" w:rsidRPr="00BF3AE7">
        <w:rPr>
          <w:rFonts w:asciiTheme="majorHAnsi" w:hAnsiTheme="majorHAnsi" w:cstheme="majorHAnsi"/>
        </w:rPr>
        <w:t xml:space="preserve">. </w:t>
      </w:r>
      <w:r w:rsidR="005D302B" w:rsidRPr="00BF3AE7">
        <w:rPr>
          <w:rFonts w:asciiTheme="majorHAnsi" w:hAnsiTheme="majorHAnsi" w:cstheme="majorHAnsi"/>
        </w:rPr>
        <w:t>F</w:t>
      </w:r>
      <w:r w:rsidR="0037732B" w:rsidRPr="00BF3AE7">
        <w:rPr>
          <w:rFonts w:asciiTheme="majorHAnsi" w:hAnsiTheme="majorHAnsi" w:cstheme="majorHAnsi"/>
        </w:rPr>
        <w:t>okus</w:t>
      </w:r>
      <w:r w:rsidR="005D302B" w:rsidRPr="00BF3AE7">
        <w:rPr>
          <w:rFonts w:asciiTheme="majorHAnsi" w:hAnsiTheme="majorHAnsi" w:cstheme="majorHAnsi"/>
        </w:rPr>
        <w:t>et kan da</w:t>
      </w:r>
      <w:r w:rsidR="0037732B" w:rsidRPr="00BF3AE7">
        <w:rPr>
          <w:rFonts w:asciiTheme="majorHAnsi" w:hAnsiTheme="majorHAnsi" w:cstheme="majorHAnsi"/>
        </w:rPr>
        <w:t xml:space="preserve"> lett utelukkende rettes </w:t>
      </w:r>
      <w:r w:rsidR="00D543A8" w:rsidRPr="00BF3AE7">
        <w:rPr>
          <w:rFonts w:asciiTheme="majorHAnsi" w:hAnsiTheme="majorHAnsi" w:cstheme="majorHAnsi"/>
        </w:rPr>
        <w:t xml:space="preserve">mot oppfølgning av lov- og forskriftsverkets minstestandarder i stedet for en dialog om </w:t>
      </w:r>
      <w:r w:rsidR="008321E6" w:rsidRPr="00BF3AE7">
        <w:rPr>
          <w:rFonts w:asciiTheme="majorHAnsi" w:hAnsiTheme="majorHAnsi" w:cstheme="majorHAnsi"/>
        </w:rPr>
        <w:t>eksempler til etterfølgelse</w:t>
      </w:r>
      <w:r w:rsidR="0037732B" w:rsidRPr="00BF3AE7">
        <w:rPr>
          <w:rFonts w:asciiTheme="majorHAnsi" w:hAnsiTheme="majorHAnsi" w:cstheme="majorHAnsi"/>
        </w:rPr>
        <w:t xml:space="preserve"> og videreutvikling</w:t>
      </w:r>
      <w:r w:rsidR="00D815E2" w:rsidRPr="00BF3AE7">
        <w:rPr>
          <w:rFonts w:asciiTheme="majorHAnsi" w:hAnsiTheme="majorHAnsi" w:cstheme="majorHAnsi"/>
        </w:rPr>
        <w:t xml:space="preserve">. </w:t>
      </w:r>
      <w:r w:rsidR="00C46ABE" w:rsidRPr="00BF3AE7">
        <w:rPr>
          <w:rFonts w:asciiTheme="majorHAnsi" w:hAnsiTheme="majorHAnsi" w:cstheme="majorHAnsi"/>
        </w:rPr>
        <w:t>Det bør derfor vurderes om andre virkemidler enn regelverksstyring egner seg bedre.</w:t>
      </w:r>
    </w:p>
    <w:p w14:paraId="425EBB5F" w14:textId="56115C9A" w:rsidR="00B150F7" w:rsidRPr="00BF3AE7" w:rsidRDefault="001B4BFB" w:rsidP="00D11346">
      <w:pPr>
        <w:pStyle w:val="Overskrift1"/>
        <w:numPr>
          <w:ilvl w:val="0"/>
          <w:numId w:val="11"/>
        </w:numPr>
        <w:rPr>
          <w:rFonts w:cstheme="majorHAnsi"/>
          <w:sz w:val="26"/>
          <w:szCs w:val="26"/>
        </w:rPr>
      </w:pPr>
      <w:bookmarkStart w:id="5" w:name="_Toc12631430"/>
      <w:r>
        <w:rPr>
          <w:rFonts w:cstheme="majorHAnsi"/>
        </w:rPr>
        <w:t>Dagens regulering av u</w:t>
      </w:r>
      <w:r w:rsidR="00F54960" w:rsidRPr="00BF3AE7">
        <w:rPr>
          <w:rFonts w:cstheme="majorHAnsi"/>
        </w:rPr>
        <w:t>niversiteter og høyskoler</w:t>
      </w:r>
      <w:bookmarkEnd w:id="5"/>
      <w:r w:rsidR="00F54960" w:rsidRPr="00BF3AE7">
        <w:rPr>
          <w:rFonts w:cstheme="majorHAnsi"/>
        </w:rPr>
        <w:t xml:space="preserve"> </w:t>
      </w:r>
    </w:p>
    <w:p w14:paraId="312159B2" w14:textId="01B4DC96" w:rsidR="003D0227" w:rsidRPr="00BF3AE7" w:rsidRDefault="00B150F7" w:rsidP="00B150F7">
      <w:pPr>
        <w:pStyle w:val="Overskrift2"/>
        <w:numPr>
          <w:ilvl w:val="1"/>
          <w:numId w:val="11"/>
        </w:numPr>
        <w:rPr>
          <w:rFonts w:cstheme="majorHAnsi"/>
        </w:rPr>
      </w:pPr>
      <w:bookmarkStart w:id="6" w:name="_Toc12631431"/>
      <w:r w:rsidRPr="00BF3AE7">
        <w:rPr>
          <w:rStyle w:val="Overskrift1Tegn"/>
          <w:rFonts w:cstheme="majorHAnsi"/>
        </w:rPr>
        <w:t>K</w:t>
      </w:r>
      <w:r w:rsidR="00486DAE" w:rsidRPr="00BF3AE7">
        <w:rPr>
          <w:rStyle w:val="Overskrift1Tegn"/>
          <w:rFonts w:cstheme="majorHAnsi"/>
        </w:rPr>
        <w:t>ontroll og handlefrihet</w:t>
      </w:r>
      <w:bookmarkEnd w:id="6"/>
    </w:p>
    <w:p w14:paraId="212CFC26" w14:textId="0186F37B" w:rsidR="00786929" w:rsidRPr="00BF3AE7" w:rsidRDefault="007F06F3" w:rsidP="00F54960">
      <w:pPr>
        <w:spacing w:line="276" w:lineRule="auto"/>
        <w:rPr>
          <w:rFonts w:asciiTheme="majorHAnsi" w:hAnsiTheme="majorHAnsi" w:cstheme="majorHAnsi"/>
        </w:rPr>
      </w:pPr>
      <w:r w:rsidRPr="00BF3AE7">
        <w:rPr>
          <w:rFonts w:asciiTheme="majorHAnsi" w:hAnsiTheme="majorHAnsi" w:cstheme="majorHAnsi"/>
        </w:rPr>
        <w:t>I u</w:t>
      </w:r>
      <w:r w:rsidR="00F54960" w:rsidRPr="00BF3AE7">
        <w:rPr>
          <w:rFonts w:asciiTheme="majorHAnsi" w:hAnsiTheme="majorHAnsi" w:cstheme="majorHAnsi"/>
        </w:rPr>
        <w:t xml:space="preserve">niversitets- og høyskoleloven § 1-1 heter det at loven skal legge til rette for at universiteter og høyskoler tilbyr høyere utdanning og utfører forskning og faglig og kunstnerisk utviklingsarbeid på høyt internasjonalt nivå. I tillegg beskrives et sentralt formidlingsoppdrag. </w:t>
      </w:r>
    </w:p>
    <w:p w14:paraId="7594A11F" w14:textId="77777777" w:rsidR="00786929" w:rsidRPr="00BF3AE7" w:rsidRDefault="00786929" w:rsidP="00F54960">
      <w:pPr>
        <w:spacing w:line="276" w:lineRule="auto"/>
        <w:rPr>
          <w:rFonts w:asciiTheme="majorHAnsi" w:hAnsiTheme="majorHAnsi" w:cstheme="majorHAnsi"/>
        </w:rPr>
      </w:pPr>
    </w:p>
    <w:p w14:paraId="2E640AA9" w14:textId="00D47EDD" w:rsidR="00E80219" w:rsidRPr="00BF3AE7" w:rsidRDefault="00E80219" w:rsidP="00E80219">
      <w:pPr>
        <w:rPr>
          <w:rFonts w:asciiTheme="majorHAnsi" w:hAnsiTheme="majorHAnsi" w:cstheme="majorHAnsi"/>
        </w:rPr>
      </w:pPr>
      <w:r w:rsidRPr="00BF3AE7">
        <w:rPr>
          <w:rFonts w:asciiTheme="majorHAnsi" w:hAnsiTheme="majorHAnsi" w:cstheme="majorHAnsi"/>
        </w:rPr>
        <w:t xml:space="preserve">Vår hovedproblemstilling er om </w:t>
      </w:r>
      <w:r w:rsidR="00387C08">
        <w:rPr>
          <w:rFonts w:asciiTheme="majorHAnsi" w:hAnsiTheme="majorHAnsi" w:cstheme="majorHAnsi"/>
        </w:rPr>
        <w:t>u</w:t>
      </w:r>
      <w:r w:rsidRPr="00BF3AE7">
        <w:rPr>
          <w:rFonts w:asciiTheme="majorHAnsi" w:hAnsiTheme="majorHAnsi" w:cstheme="majorHAnsi"/>
        </w:rPr>
        <w:t xml:space="preserve">niversitets- og høyskoleloven og underliggende forskrifter har en optimal balanse mellom det å oppstille minstekrav og det å samtidig gi det handlings- og utviklingsrommet som er formålstjenlig for at universiteter og høyskoler skal kunne </w:t>
      </w:r>
      <w:r w:rsidRPr="00BF3AE7">
        <w:rPr>
          <w:rFonts w:asciiTheme="majorHAnsi" w:hAnsiTheme="majorHAnsi" w:cstheme="majorHAnsi"/>
        </w:rPr>
        <w:lastRenderedPageBreak/>
        <w:t>realisere målsettingen om å drive virksomhet på høyt internasjonalt nivå – og være den ledende drivkraft i den kunnskapsutviklingen som det norske samfunnet trenger.</w:t>
      </w:r>
    </w:p>
    <w:p w14:paraId="17F21CAE" w14:textId="0EE0A9E5" w:rsidR="00F54960" w:rsidRPr="00BF3AE7" w:rsidRDefault="00695D6B" w:rsidP="00F54960">
      <w:pPr>
        <w:spacing w:line="276" w:lineRule="auto"/>
        <w:rPr>
          <w:rFonts w:asciiTheme="majorHAnsi" w:hAnsiTheme="majorHAnsi" w:cstheme="majorHAnsi"/>
        </w:rPr>
      </w:pPr>
      <w:r w:rsidRPr="00BF3AE7">
        <w:rPr>
          <w:rFonts w:asciiTheme="majorHAnsi" w:hAnsiTheme="majorHAnsi" w:cstheme="majorHAnsi"/>
        </w:rPr>
        <w:t xml:space="preserve">Et </w:t>
      </w:r>
      <w:r w:rsidR="00084DD3" w:rsidRPr="00BF3AE7">
        <w:rPr>
          <w:rFonts w:asciiTheme="majorHAnsi" w:hAnsiTheme="majorHAnsi" w:cstheme="majorHAnsi"/>
        </w:rPr>
        <w:t xml:space="preserve">sentralt spørsmål </w:t>
      </w:r>
      <w:r w:rsidRPr="00BF3AE7">
        <w:rPr>
          <w:rFonts w:asciiTheme="majorHAnsi" w:hAnsiTheme="majorHAnsi" w:cstheme="majorHAnsi"/>
        </w:rPr>
        <w:t>er hvordan statens kontroll- og støttesystem kan bistå institusjonene best mulig</w:t>
      </w:r>
      <w:r w:rsidR="000102AA" w:rsidRPr="00BF3AE7">
        <w:rPr>
          <w:rFonts w:asciiTheme="majorHAnsi" w:hAnsiTheme="majorHAnsi" w:cstheme="majorHAnsi"/>
        </w:rPr>
        <w:t>,</w:t>
      </w:r>
      <w:r w:rsidRPr="00BF3AE7">
        <w:rPr>
          <w:rFonts w:asciiTheme="majorHAnsi" w:hAnsiTheme="majorHAnsi" w:cstheme="majorHAnsi"/>
        </w:rPr>
        <w:t xml:space="preserve"> og </w:t>
      </w:r>
      <w:r w:rsidR="000C196A" w:rsidRPr="00BF3AE7">
        <w:rPr>
          <w:rFonts w:asciiTheme="majorHAnsi" w:hAnsiTheme="majorHAnsi" w:cstheme="majorHAnsi"/>
        </w:rPr>
        <w:t xml:space="preserve">hvordan forvaltningen kan bidra til å finne en bedre </w:t>
      </w:r>
      <w:r w:rsidRPr="00BF3AE7">
        <w:rPr>
          <w:rFonts w:asciiTheme="majorHAnsi" w:hAnsiTheme="majorHAnsi" w:cstheme="majorHAnsi"/>
        </w:rPr>
        <w:t xml:space="preserve">balanse mellom legislativ styring og </w:t>
      </w:r>
      <w:r w:rsidR="000C196A" w:rsidRPr="00BF3AE7">
        <w:rPr>
          <w:rFonts w:asciiTheme="majorHAnsi" w:hAnsiTheme="majorHAnsi" w:cstheme="majorHAnsi"/>
        </w:rPr>
        <w:t xml:space="preserve">prosesser som stimulerer til </w:t>
      </w:r>
      <w:r w:rsidR="004858E8" w:rsidRPr="00BF3AE7">
        <w:rPr>
          <w:rFonts w:asciiTheme="majorHAnsi" w:hAnsiTheme="majorHAnsi" w:cstheme="majorHAnsi"/>
        </w:rPr>
        <w:t>mer faglige utviklingsprosesser</w:t>
      </w:r>
      <w:r w:rsidRPr="00BF3AE7">
        <w:rPr>
          <w:rFonts w:asciiTheme="majorHAnsi" w:hAnsiTheme="majorHAnsi" w:cstheme="majorHAnsi"/>
        </w:rPr>
        <w:t>.</w:t>
      </w:r>
    </w:p>
    <w:p w14:paraId="09C70BEF" w14:textId="77777777" w:rsidR="00F54960" w:rsidRPr="00BF3AE7" w:rsidRDefault="00F54960" w:rsidP="0074575D">
      <w:pPr>
        <w:spacing w:line="276" w:lineRule="auto"/>
        <w:rPr>
          <w:rFonts w:asciiTheme="majorHAnsi" w:hAnsiTheme="majorHAnsi" w:cstheme="majorHAnsi"/>
        </w:rPr>
      </w:pPr>
    </w:p>
    <w:p w14:paraId="312159B6" w14:textId="1AEAFA51" w:rsidR="0074575D" w:rsidRPr="00BF3AE7" w:rsidRDefault="000C196A" w:rsidP="0074575D">
      <w:pPr>
        <w:spacing w:line="276" w:lineRule="auto"/>
        <w:rPr>
          <w:rFonts w:asciiTheme="majorHAnsi" w:hAnsiTheme="majorHAnsi" w:cstheme="majorHAnsi"/>
        </w:rPr>
      </w:pPr>
      <w:r w:rsidRPr="00BF3AE7">
        <w:rPr>
          <w:rFonts w:asciiTheme="majorHAnsi" w:hAnsiTheme="majorHAnsi" w:cstheme="majorHAnsi"/>
        </w:rPr>
        <w:t xml:space="preserve">I arbeidet med å finne en optimal ballanse mellom klare rammer for den faglige virksomheten og tilstrekkelig </w:t>
      </w:r>
      <w:r w:rsidR="0074575D" w:rsidRPr="00BF3AE7">
        <w:rPr>
          <w:rFonts w:asciiTheme="majorHAnsi" w:hAnsiTheme="majorHAnsi" w:cstheme="majorHAnsi"/>
        </w:rPr>
        <w:t>handlingsrom for utvi</w:t>
      </w:r>
      <w:r w:rsidR="000C0EE3" w:rsidRPr="00BF3AE7">
        <w:rPr>
          <w:rFonts w:asciiTheme="majorHAnsi" w:hAnsiTheme="majorHAnsi" w:cstheme="majorHAnsi"/>
        </w:rPr>
        <w:t>kling og lokale tilpasninger</w:t>
      </w:r>
      <w:r w:rsidRPr="00BF3AE7">
        <w:rPr>
          <w:rFonts w:asciiTheme="majorHAnsi" w:hAnsiTheme="majorHAnsi" w:cstheme="majorHAnsi"/>
        </w:rPr>
        <w:t xml:space="preserve">, må det foretas </w:t>
      </w:r>
      <w:r w:rsidR="0074575D" w:rsidRPr="00BF3AE7">
        <w:rPr>
          <w:rFonts w:asciiTheme="majorHAnsi" w:hAnsiTheme="majorHAnsi" w:cstheme="majorHAnsi"/>
        </w:rPr>
        <w:t>bevis</w:t>
      </w:r>
      <w:r w:rsidR="00FE4C8A" w:rsidRPr="00BF3AE7">
        <w:rPr>
          <w:rFonts w:asciiTheme="majorHAnsi" w:hAnsiTheme="majorHAnsi" w:cstheme="majorHAnsi"/>
        </w:rPr>
        <w:t>ste vurderinger</w:t>
      </w:r>
      <w:r w:rsidR="0074575D" w:rsidRPr="00BF3AE7">
        <w:rPr>
          <w:rFonts w:asciiTheme="majorHAnsi" w:hAnsiTheme="majorHAnsi" w:cstheme="majorHAnsi"/>
        </w:rPr>
        <w:t>. Fokus</w:t>
      </w:r>
      <w:r w:rsidR="00F63D0D" w:rsidRPr="00BF3AE7">
        <w:rPr>
          <w:rFonts w:asciiTheme="majorHAnsi" w:hAnsiTheme="majorHAnsi" w:cstheme="majorHAnsi"/>
        </w:rPr>
        <w:t>et</w:t>
      </w:r>
      <w:r w:rsidR="0074575D" w:rsidRPr="00BF3AE7">
        <w:rPr>
          <w:rFonts w:asciiTheme="majorHAnsi" w:hAnsiTheme="majorHAnsi" w:cstheme="majorHAnsi"/>
        </w:rPr>
        <w:t xml:space="preserve"> for diskusjonen om reguleringsintensitet bør ikke </w:t>
      </w:r>
      <w:r w:rsidR="00851B45" w:rsidRPr="00BF3AE7">
        <w:rPr>
          <w:rFonts w:asciiTheme="majorHAnsi" w:hAnsiTheme="majorHAnsi" w:cstheme="majorHAnsi"/>
        </w:rPr>
        <w:t xml:space="preserve">bare </w:t>
      </w:r>
      <w:r w:rsidR="00F63D0D" w:rsidRPr="00BF3AE7">
        <w:rPr>
          <w:rFonts w:asciiTheme="majorHAnsi" w:hAnsiTheme="majorHAnsi" w:cstheme="majorHAnsi"/>
        </w:rPr>
        <w:t>konsentrere seg</w:t>
      </w:r>
      <w:r w:rsidR="0074575D" w:rsidRPr="00BF3AE7">
        <w:rPr>
          <w:rFonts w:asciiTheme="majorHAnsi" w:hAnsiTheme="majorHAnsi" w:cstheme="majorHAnsi"/>
        </w:rPr>
        <w:t xml:space="preserve"> om enkeltreguleringer, men </w:t>
      </w:r>
      <w:r w:rsidR="00F63D0D" w:rsidRPr="00BF3AE7">
        <w:rPr>
          <w:rFonts w:asciiTheme="majorHAnsi" w:hAnsiTheme="majorHAnsi" w:cstheme="majorHAnsi"/>
        </w:rPr>
        <w:t xml:space="preserve">også </w:t>
      </w:r>
      <w:r w:rsidR="0049318E" w:rsidRPr="00BF3AE7">
        <w:rPr>
          <w:rFonts w:asciiTheme="majorHAnsi" w:hAnsiTheme="majorHAnsi" w:cstheme="majorHAnsi"/>
        </w:rPr>
        <w:t xml:space="preserve">om helheten. </w:t>
      </w:r>
      <w:r w:rsidR="005D2FCD" w:rsidRPr="00BF3AE7">
        <w:rPr>
          <w:rFonts w:asciiTheme="majorHAnsi" w:hAnsiTheme="majorHAnsi" w:cstheme="majorHAnsi"/>
        </w:rPr>
        <w:t xml:space="preserve">Hvor er det </w:t>
      </w:r>
      <w:r w:rsidR="0049318E" w:rsidRPr="00BF3AE7">
        <w:rPr>
          <w:rFonts w:asciiTheme="majorHAnsi" w:hAnsiTheme="majorHAnsi" w:cstheme="majorHAnsi"/>
        </w:rPr>
        <w:t xml:space="preserve">viktig for staten å ha </w:t>
      </w:r>
      <w:r w:rsidR="005D2FCD" w:rsidRPr="00BF3AE7">
        <w:rPr>
          <w:rFonts w:asciiTheme="majorHAnsi" w:hAnsiTheme="majorHAnsi" w:cstheme="majorHAnsi"/>
        </w:rPr>
        <w:t>klare rammer</w:t>
      </w:r>
      <w:r w:rsidR="0049318E" w:rsidRPr="00BF3AE7">
        <w:rPr>
          <w:rFonts w:asciiTheme="majorHAnsi" w:hAnsiTheme="majorHAnsi" w:cstheme="majorHAnsi"/>
        </w:rPr>
        <w:t xml:space="preserve"> og kontroll</w:t>
      </w:r>
      <w:r w:rsidR="005D2FCD" w:rsidRPr="00BF3AE7">
        <w:rPr>
          <w:rFonts w:asciiTheme="majorHAnsi" w:hAnsiTheme="majorHAnsi" w:cstheme="majorHAnsi"/>
        </w:rPr>
        <w:t xml:space="preserve">? </w:t>
      </w:r>
      <w:r w:rsidR="0074575D" w:rsidRPr="00BF3AE7">
        <w:rPr>
          <w:rFonts w:asciiTheme="majorHAnsi" w:hAnsiTheme="majorHAnsi" w:cstheme="majorHAnsi"/>
        </w:rPr>
        <w:t>Hvor er det viktig for institusjonene å ha handlefrihet?</w:t>
      </w:r>
    </w:p>
    <w:p w14:paraId="312159B7" w14:textId="77777777" w:rsidR="0074575D" w:rsidRPr="00BF3AE7" w:rsidRDefault="0074575D" w:rsidP="0074575D">
      <w:pPr>
        <w:spacing w:line="276" w:lineRule="auto"/>
        <w:rPr>
          <w:rFonts w:asciiTheme="majorHAnsi" w:hAnsiTheme="majorHAnsi" w:cstheme="majorHAnsi"/>
        </w:rPr>
      </w:pPr>
    </w:p>
    <w:p w14:paraId="312159B8" w14:textId="53EB94B9" w:rsidR="0074575D" w:rsidRPr="00BF3AE7" w:rsidRDefault="00606553" w:rsidP="0074575D">
      <w:pPr>
        <w:spacing w:line="276" w:lineRule="auto"/>
        <w:rPr>
          <w:rFonts w:asciiTheme="majorHAnsi" w:hAnsiTheme="majorHAnsi" w:cstheme="majorHAnsi"/>
        </w:rPr>
      </w:pPr>
      <w:r w:rsidRPr="00BF3AE7">
        <w:rPr>
          <w:rFonts w:asciiTheme="majorHAnsi" w:hAnsiTheme="majorHAnsi" w:cstheme="majorHAnsi"/>
        </w:rPr>
        <w:t xml:space="preserve">Vi ønsker en praksis der staten i utgangspunktet kun regulerer det som er nødvendig for å sikre rammene for høyere utdanning av god kvalitet, </w:t>
      </w:r>
      <w:r w:rsidR="000C196A" w:rsidRPr="00BF3AE7">
        <w:rPr>
          <w:rFonts w:asciiTheme="majorHAnsi" w:hAnsiTheme="majorHAnsi" w:cstheme="majorHAnsi"/>
        </w:rPr>
        <w:t xml:space="preserve">samt sikrer at institusjonene utfører kvalitetsarbeid av høy kvalitet, </w:t>
      </w:r>
      <w:r w:rsidRPr="00BF3AE7">
        <w:rPr>
          <w:rFonts w:asciiTheme="majorHAnsi" w:hAnsiTheme="majorHAnsi" w:cstheme="majorHAnsi"/>
        </w:rPr>
        <w:t>og at loven legger til rette for en effektiv bruk av andre virkemidler</w:t>
      </w:r>
      <w:r w:rsidR="00084DD3" w:rsidRPr="00BF3AE7">
        <w:rPr>
          <w:rFonts w:asciiTheme="majorHAnsi" w:hAnsiTheme="majorHAnsi" w:cstheme="majorHAnsi"/>
        </w:rPr>
        <w:t xml:space="preserve"> for å stimulere til ytterligere utvikling</w:t>
      </w:r>
      <w:r w:rsidRPr="00BF3AE7">
        <w:rPr>
          <w:rFonts w:asciiTheme="majorHAnsi" w:hAnsiTheme="majorHAnsi" w:cstheme="majorHAnsi"/>
        </w:rPr>
        <w:t xml:space="preserve">. </w:t>
      </w:r>
      <w:r w:rsidR="0074575D" w:rsidRPr="00BF3AE7">
        <w:rPr>
          <w:rFonts w:asciiTheme="majorHAnsi" w:hAnsiTheme="majorHAnsi" w:cstheme="majorHAnsi"/>
        </w:rPr>
        <w:t xml:space="preserve">NOKUT ønsker at utvalget vurderer hvorvidt </w:t>
      </w:r>
      <w:r w:rsidR="009C1047" w:rsidRPr="00BF3AE7">
        <w:rPr>
          <w:rFonts w:asciiTheme="majorHAnsi" w:hAnsiTheme="majorHAnsi" w:cstheme="majorHAnsi"/>
        </w:rPr>
        <w:t xml:space="preserve">dagens regulering er for omfattende </w:t>
      </w:r>
      <w:r w:rsidR="0074575D" w:rsidRPr="00BF3AE7">
        <w:rPr>
          <w:rFonts w:asciiTheme="majorHAnsi" w:hAnsiTheme="majorHAnsi" w:cstheme="majorHAnsi"/>
        </w:rPr>
        <w:t xml:space="preserve">og om </w:t>
      </w:r>
      <w:r w:rsidR="009C1047" w:rsidRPr="00BF3AE7">
        <w:rPr>
          <w:rFonts w:asciiTheme="majorHAnsi" w:hAnsiTheme="majorHAnsi" w:cstheme="majorHAnsi"/>
        </w:rPr>
        <w:t xml:space="preserve">den </w:t>
      </w:r>
      <w:r w:rsidR="00F27A79" w:rsidRPr="00BF3AE7">
        <w:rPr>
          <w:rFonts w:asciiTheme="majorHAnsi" w:hAnsiTheme="majorHAnsi" w:cstheme="majorHAnsi"/>
        </w:rPr>
        <w:t xml:space="preserve">på nåværende tidspunkt </w:t>
      </w:r>
      <w:r w:rsidR="0074575D" w:rsidRPr="00BF3AE7">
        <w:rPr>
          <w:rFonts w:asciiTheme="majorHAnsi" w:hAnsiTheme="majorHAnsi" w:cstheme="majorHAnsi"/>
        </w:rPr>
        <w:t>gir tilstrekkelig handlingsrom til institusjonene når det gjelder kvalitetsutvikling</w:t>
      </w:r>
      <w:r w:rsidR="004909BC" w:rsidRPr="00BF3AE7">
        <w:rPr>
          <w:rFonts w:asciiTheme="majorHAnsi" w:hAnsiTheme="majorHAnsi" w:cstheme="majorHAnsi"/>
        </w:rPr>
        <w:t xml:space="preserve">. </w:t>
      </w:r>
    </w:p>
    <w:p w14:paraId="75009D09" w14:textId="77777777" w:rsidR="00B150F7" w:rsidRPr="00BF3AE7" w:rsidRDefault="00B150F7" w:rsidP="00B150F7">
      <w:pPr>
        <w:pStyle w:val="Overskrift2"/>
        <w:rPr>
          <w:rFonts w:cstheme="majorHAnsi"/>
        </w:rPr>
      </w:pPr>
    </w:p>
    <w:p w14:paraId="127F0F7B" w14:textId="16E6951F" w:rsidR="00B150F7" w:rsidRPr="00BF3AE7" w:rsidRDefault="00B150F7" w:rsidP="00B150F7">
      <w:pPr>
        <w:pStyle w:val="Overskrift2"/>
        <w:numPr>
          <w:ilvl w:val="1"/>
          <w:numId w:val="11"/>
        </w:numPr>
        <w:rPr>
          <w:rFonts w:cstheme="majorHAnsi"/>
        </w:rPr>
      </w:pPr>
      <w:bookmarkStart w:id="7" w:name="_Toc12631432"/>
      <w:r w:rsidRPr="00BF3AE7">
        <w:rPr>
          <w:rFonts w:cstheme="majorHAnsi"/>
        </w:rPr>
        <w:t>Andre virkemidler</w:t>
      </w:r>
      <w:bookmarkEnd w:id="7"/>
    </w:p>
    <w:p w14:paraId="167B1D11" w14:textId="61324065" w:rsidR="00766345" w:rsidRPr="00BF3AE7" w:rsidRDefault="00653690" w:rsidP="0074575D">
      <w:pPr>
        <w:spacing w:line="276" w:lineRule="auto"/>
        <w:rPr>
          <w:rFonts w:asciiTheme="majorHAnsi" w:hAnsiTheme="majorHAnsi" w:cstheme="majorHAnsi"/>
        </w:rPr>
      </w:pPr>
      <w:r w:rsidRPr="00BF3AE7">
        <w:rPr>
          <w:rFonts w:asciiTheme="majorHAnsi" w:hAnsiTheme="majorHAnsi" w:cstheme="majorHAnsi"/>
        </w:rPr>
        <w:t>Den u</w:t>
      </w:r>
      <w:r w:rsidR="004C26A9" w:rsidRPr="00BF3AE7">
        <w:rPr>
          <w:rFonts w:asciiTheme="majorHAnsi" w:hAnsiTheme="majorHAnsi" w:cstheme="majorHAnsi"/>
        </w:rPr>
        <w:t xml:space="preserve">ttalte styringsambisjonen </w:t>
      </w:r>
      <w:r w:rsidR="000C196A" w:rsidRPr="00BF3AE7">
        <w:rPr>
          <w:rFonts w:asciiTheme="majorHAnsi" w:hAnsiTheme="majorHAnsi" w:cstheme="majorHAnsi"/>
        </w:rPr>
        <w:t xml:space="preserve">gjennom </w:t>
      </w:r>
      <w:r w:rsidR="004C26A9" w:rsidRPr="00BF3AE7">
        <w:rPr>
          <w:rFonts w:asciiTheme="majorHAnsi" w:hAnsiTheme="majorHAnsi" w:cstheme="majorHAnsi"/>
        </w:rPr>
        <w:t>universitets- og høyskole</w:t>
      </w:r>
      <w:r w:rsidRPr="00BF3AE7">
        <w:rPr>
          <w:rFonts w:asciiTheme="majorHAnsi" w:hAnsiTheme="majorHAnsi" w:cstheme="majorHAnsi"/>
        </w:rPr>
        <w:t>lovgivningens regulering av kvalitet er moderat av hensyn til i</w:t>
      </w:r>
      <w:r w:rsidR="007428D1" w:rsidRPr="00BF3AE7">
        <w:rPr>
          <w:rFonts w:asciiTheme="majorHAnsi" w:hAnsiTheme="majorHAnsi" w:cstheme="majorHAnsi"/>
        </w:rPr>
        <w:t>nstitusjonenes faglige autonomi. L</w:t>
      </w:r>
      <w:r w:rsidRPr="00BF3AE7">
        <w:rPr>
          <w:rFonts w:asciiTheme="majorHAnsi" w:hAnsiTheme="majorHAnsi" w:cstheme="majorHAnsi"/>
        </w:rPr>
        <w:t xml:space="preserve">ikevel oppstilles det i regelverket enkelte svært spesifikke krav som kan sies å gripe </w:t>
      </w:r>
      <w:r w:rsidR="00891647">
        <w:rPr>
          <w:rFonts w:asciiTheme="majorHAnsi" w:hAnsiTheme="majorHAnsi" w:cstheme="majorHAnsi"/>
        </w:rPr>
        <w:t xml:space="preserve">forholdsvis </w:t>
      </w:r>
      <w:r w:rsidRPr="00BF3AE7">
        <w:rPr>
          <w:rFonts w:asciiTheme="majorHAnsi" w:hAnsiTheme="majorHAnsi" w:cstheme="majorHAnsi"/>
        </w:rPr>
        <w:t xml:space="preserve">dypt inn i den samme autonomien. </w:t>
      </w:r>
      <w:r w:rsidR="00686A72" w:rsidRPr="00BF3AE7">
        <w:rPr>
          <w:rFonts w:asciiTheme="majorHAnsi" w:hAnsiTheme="majorHAnsi" w:cstheme="majorHAnsi"/>
        </w:rPr>
        <w:t>Ett eksempel er at det stilles en rekke krav ved akkreditering av</w:t>
      </w:r>
      <w:r w:rsidR="00604FEF" w:rsidRPr="00BF3AE7">
        <w:rPr>
          <w:rFonts w:asciiTheme="majorHAnsi" w:hAnsiTheme="majorHAnsi" w:cstheme="majorHAnsi"/>
        </w:rPr>
        <w:t xml:space="preserve"> master- og doktorgradsstudier. Dette inkluderer </w:t>
      </w:r>
      <w:r w:rsidR="00686A72" w:rsidRPr="00BF3AE7">
        <w:rPr>
          <w:rFonts w:asciiTheme="majorHAnsi" w:hAnsiTheme="majorHAnsi" w:cstheme="majorHAnsi"/>
        </w:rPr>
        <w:t>både kvalitative krav til insti</w:t>
      </w:r>
      <w:r w:rsidR="00604FEF" w:rsidRPr="00BF3AE7">
        <w:rPr>
          <w:rFonts w:asciiTheme="majorHAnsi" w:hAnsiTheme="majorHAnsi" w:cstheme="majorHAnsi"/>
        </w:rPr>
        <w:t>tusjonens fagmiljø og fagområde</w:t>
      </w:r>
      <w:r w:rsidR="006D2F6F">
        <w:rPr>
          <w:rFonts w:asciiTheme="majorHAnsi" w:hAnsiTheme="majorHAnsi" w:cstheme="majorHAnsi"/>
        </w:rPr>
        <w:t>,</w:t>
      </w:r>
      <w:r w:rsidR="00686A72" w:rsidRPr="00BF3AE7">
        <w:rPr>
          <w:rFonts w:asciiTheme="majorHAnsi" w:hAnsiTheme="majorHAnsi" w:cstheme="majorHAnsi"/>
        </w:rPr>
        <w:t xml:space="preserve"> og presise og kvantitative krav til institusjonenes fagmiljørekruttering og gjennomstrømming på doktorgradsnivå, herunder krav til prosentvis andel av institusjonens ansatte som skal ha førstestillingskompetanse.</w:t>
      </w:r>
      <w:r w:rsidR="00686A72" w:rsidRPr="00BF3AE7">
        <w:rPr>
          <w:rStyle w:val="Fotnotereferanse"/>
          <w:rFonts w:asciiTheme="majorHAnsi" w:hAnsiTheme="majorHAnsi" w:cstheme="majorHAnsi"/>
        </w:rPr>
        <w:footnoteReference w:id="2"/>
      </w:r>
      <w:r w:rsidR="00686A72" w:rsidRPr="00BF3AE7">
        <w:rPr>
          <w:rFonts w:asciiTheme="majorHAnsi" w:hAnsiTheme="majorHAnsi" w:cstheme="majorHAnsi"/>
        </w:rPr>
        <w:t xml:space="preserve"> </w:t>
      </w:r>
      <w:r w:rsidR="009922DD" w:rsidRPr="00BF3AE7">
        <w:rPr>
          <w:rFonts w:asciiTheme="majorHAnsi" w:hAnsiTheme="majorHAnsi" w:cstheme="majorHAnsi"/>
        </w:rPr>
        <w:t>E</w:t>
      </w:r>
      <w:r w:rsidR="00766345" w:rsidRPr="00BF3AE7">
        <w:rPr>
          <w:rFonts w:asciiTheme="majorHAnsi" w:hAnsiTheme="majorHAnsi" w:cstheme="majorHAnsi"/>
        </w:rPr>
        <w:t xml:space="preserve">n </w:t>
      </w:r>
      <w:r w:rsidR="00D363D0" w:rsidRPr="00BF3AE7">
        <w:rPr>
          <w:rFonts w:asciiTheme="majorHAnsi" w:hAnsiTheme="majorHAnsi" w:cstheme="majorHAnsi"/>
        </w:rPr>
        <w:t xml:space="preserve">slik </w:t>
      </w:r>
      <w:r w:rsidR="00766345" w:rsidRPr="00BF3AE7">
        <w:rPr>
          <w:rFonts w:asciiTheme="majorHAnsi" w:hAnsiTheme="majorHAnsi" w:cstheme="majorHAnsi"/>
        </w:rPr>
        <w:t xml:space="preserve">regulering </w:t>
      </w:r>
      <w:r w:rsidR="00810C09" w:rsidRPr="00BF3AE7">
        <w:rPr>
          <w:rFonts w:asciiTheme="majorHAnsi" w:hAnsiTheme="majorHAnsi" w:cstheme="majorHAnsi"/>
        </w:rPr>
        <w:t>vil</w:t>
      </w:r>
      <w:r w:rsidR="00BE17AF" w:rsidRPr="00BF3AE7">
        <w:rPr>
          <w:rFonts w:asciiTheme="majorHAnsi" w:hAnsiTheme="majorHAnsi" w:cstheme="majorHAnsi"/>
        </w:rPr>
        <w:t xml:space="preserve"> kunne</w:t>
      </w:r>
      <w:r w:rsidR="00810C09" w:rsidRPr="00BF3AE7">
        <w:rPr>
          <w:rFonts w:asciiTheme="majorHAnsi" w:hAnsiTheme="majorHAnsi" w:cstheme="majorHAnsi"/>
        </w:rPr>
        <w:t xml:space="preserve"> </w:t>
      </w:r>
      <w:r w:rsidR="00891647">
        <w:rPr>
          <w:rFonts w:asciiTheme="majorHAnsi" w:hAnsiTheme="majorHAnsi" w:cstheme="majorHAnsi"/>
        </w:rPr>
        <w:t xml:space="preserve">svekke </w:t>
      </w:r>
      <w:r w:rsidR="004D6A5D" w:rsidRPr="00BF3AE7">
        <w:rPr>
          <w:rFonts w:asciiTheme="majorHAnsi" w:hAnsiTheme="majorHAnsi" w:cstheme="majorHAnsi"/>
        </w:rPr>
        <w:t>fleksibilitet</w:t>
      </w:r>
      <w:r w:rsidR="00891647">
        <w:rPr>
          <w:rFonts w:asciiTheme="majorHAnsi" w:hAnsiTheme="majorHAnsi" w:cstheme="majorHAnsi"/>
        </w:rPr>
        <w:t>en</w:t>
      </w:r>
      <w:r w:rsidR="004D6A5D" w:rsidRPr="00BF3AE7">
        <w:rPr>
          <w:rFonts w:asciiTheme="majorHAnsi" w:hAnsiTheme="majorHAnsi" w:cstheme="majorHAnsi"/>
        </w:rPr>
        <w:t>. F</w:t>
      </w:r>
      <w:r w:rsidR="00BE17AF" w:rsidRPr="00BF3AE7">
        <w:rPr>
          <w:rFonts w:asciiTheme="majorHAnsi" w:hAnsiTheme="majorHAnsi" w:cstheme="majorHAnsi"/>
        </w:rPr>
        <w:t xml:space="preserve">okuset </w:t>
      </w:r>
      <w:r w:rsidR="004D6A5D" w:rsidRPr="00BF3AE7">
        <w:rPr>
          <w:rFonts w:asciiTheme="majorHAnsi" w:hAnsiTheme="majorHAnsi" w:cstheme="majorHAnsi"/>
        </w:rPr>
        <w:t xml:space="preserve">blir trukket </w:t>
      </w:r>
      <w:r w:rsidR="00BE17AF" w:rsidRPr="00BF3AE7">
        <w:rPr>
          <w:rFonts w:asciiTheme="majorHAnsi" w:hAnsiTheme="majorHAnsi" w:cstheme="majorHAnsi"/>
        </w:rPr>
        <w:t>vekk fra andre forhold som reelt sett er viktig for utdanningskvaliteten</w:t>
      </w:r>
      <w:r w:rsidR="00766345" w:rsidRPr="00BF3AE7">
        <w:rPr>
          <w:rFonts w:asciiTheme="majorHAnsi" w:hAnsiTheme="majorHAnsi" w:cstheme="majorHAnsi"/>
        </w:rPr>
        <w:t xml:space="preserve"> </w:t>
      </w:r>
      <w:r w:rsidR="00BE17AF" w:rsidRPr="00BF3AE7">
        <w:rPr>
          <w:rFonts w:asciiTheme="majorHAnsi" w:hAnsiTheme="majorHAnsi" w:cstheme="majorHAnsi"/>
        </w:rPr>
        <w:t xml:space="preserve">og føre til at </w:t>
      </w:r>
      <w:r w:rsidR="00766345" w:rsidRPr="00BF3AE7">
        <w:rPr>
          <w:rFonts w:asciiTheme="majorHAnsi" w:hAnsiTheme="majorHAnsi" w:cstheme="majorHAnsi"/>
        </w:rPr>
        <w:t xml:space="preserve">institusjonene ikke fullt ut får utnyttet handlingsrommet til å jobbe målbevisst med kvalitetsutvikling. </w:t>
      </w:r>
    </w:p>
    <w:p w14:paraId="4C8F21CF" w14:textId="77777777" w:rsidR="00766345" w:rsidRPr="00BF3AE7" w:rsidRDefault="00766345" w:rsidP="0074575D">
      <w:pPr>
        <w:spacing w:line="276" w:lineRule="auto"/>
        <w:rPr>
          <w:rFonts w:asciiTheme="majorHAnsi" w:hAnsiTheme="majorHAnsi" w:cstheme="majorHAnsi"/>
        </w:rPr>
      </w:pPr>
    </w:p>
    <w:p w14:paraId="312159BA" w14:textId="3AAE587B" w:rsidR="0074575D" w:rsidRPr="00BF3AE7" w:rsidRDefault="0074575D" w:rsidP="0074575D">
      <w:pPr>
        <w:spacing w:line="276" w:lineRule="auto"/>
        <w:rPr>
          <w:rFonts w:asciiTheme="majorHAnsi" w:hAnsiTheme="majorHAnsi" w:cstheme="majorHAnsi"/>
        </w:rPr>
      </w:pPr>
      <w:r w:rsidRPr="00BF3AE7">
        <w:rPr>
          <w:rFonts w:asciiTheme="majorHAnsi" w:hAnsiTheme="majorHAnsi" w:cstheme="majorHAnsi"/>
        </w:rPr>
        <w:t xml:space="preserve">Det fremstår som rimelig å anta at institusjonene ønsker å ha høy kvalitet i sin virksomhet uten at krav om dette er nedfelt i lov og forskrift. De er i en situasjon der de både på person- og institusjonsnivå konkurrerer om faglig prestisje og studenter. Dette tilsier at </w:t>
      </w:r>
      <w:r w:rsidR="003354D8" w:rsidRPr="00BF3AE7">
        <w:rPr>
          <w:rFonts w:asciiTheme="majorHAnsi" w:hAnsiTheme="majorHAnsi" w:cstheme="majorHAnsi"/>
        </w:rPr>
        <w:t>det er</w:t>
      </w:r>
      <w:r w:rsidRPr="00BF3AE7">
        <w:rPr>
          <w:rFonts w:asciiTheme="majorHAnsi" w:hAnsiTheme="majorHAnsi" w:cstheme="majorHAnsi"/>
        </w:rPr>
        <w:t xml:space="preserve"> mekanismer som, i hvert fall et godt stykke på vei, vil kunne sørge for en positiv utvikling uten statlig intervensjon. </w:t>
      </w:r>
      <w:r w:rsidR="00751BF6" w:rsidRPr="00BF3AE7">
        <w:rPr>
          <w:rFonts w:asciiTheme="majorHAnsi" w:hAnsiTheme="majorHAnsi" w:cstheme="majorHAnsi"/>
        </w:rPr>
        <w:t xml:space="preserve">I tillegg tror vi at dagens reguleringstrykk og finmaskethet øker </w:t>
      </w:r>
      <w:r w:rsidR="00751BF6" w:rsidRPr="00BF3AE7">
        <w:rPr>
          <w:rFonts w:asciiTheme="majorHAnsi" w:hAnsiTheme="majorHAnsi" w:cstheme="majorHAnsi"/>
        </w:rPr>
        <w:lastRenderedPageBreak/>
        <w:t>sannsynligheten for at institusjonene posisjonerer seg på den trygge siden for å unngå kritikk</w:t>
      </w:r>
      <w:r w:rsidR="00404E7D">
        <w:rPr>
          <w:rFonts w:asciiTheme="majorHAnsi" w:hAnsiTheme="majorHAnsi" w:cstheme="majorHAnsi"/>
        </w:rPr>
        <w:t>,</w:t>
      </w:r>
      <w:r w:rsidR="00751BF6" w:rsidRPr="00BF3AE7">
        <w:rPr>
          <w:rFonts w:asciiTheme="majorHAnsi" w:hAnsiTheme="majorHAnsi" w:cstheme="majorHAnsi"/>
        </w:rPr>
        <w:t xml:space="preserve"> eller bli utsatt for tilsyn. </w:t>
      </w:r>
    </w:p>
    <w:p w14:paraId="6A25C77D" w14:textId="4D2EB464" w:rsidR="002554E4" w:rsidRPr="00BF3AE7" w:rsidRDefault="002554E4" w:rsidP="0074575D">
      <w:pPr>
        <w:spacing w:line="276" w:lineRule="auto"/>
        <w:rPr>
          <w:rFonts w:asciiTheme="majorHAnsi" w:hAnsiTheme="majorHAnsi" w:cstheme="majorHAnsi"/>
        </w:rPr>
      </w:pPr>
    </w:p>
    <w:p w14:paraId="312159BD" w14:textId="50543E8A" w:rsidR="0074575D" w:rsidRPr="00BF3AE7" w:rsidRDefault="0074575D" w:rsidP="0074575D">
      <w:pPr>
        <w:spacing w:line="276" w:lineRule="auto"/>
        <w:rPr>
          <w:rFonts w:asciiTheme="majorHAnsi" w:hAnsiTheme="majorHAnsi" w:cstheme="majorHAnsi"/>
        </w:rPr>
      </w:pPr>
      <w:r w:rsidRPr="00BF3AE7">
        <w:rPr>
          <w:rFonts w:asciiTheme="majorHAnsi" w:hAnsiTheme="majorHAnsi" w:cstheme="majorHAnsi"/>
        </w:rPr>
        <w:t>Sektorbildet, slik vi ser det, tyder på at det er på støtte-, utviklings- og stimuleringssiden det viktigste kvalitetsarbeidet vil foregå. Dette er ingen underkjennelse av behovet for styring av sektoren gjennom lov og lovlighetskontroll på visse områder, men en erkjennelse av at de fleste norske universiteter og høyskoler ønsker å bruke hoveddelen av ressurser på fa</w:t>
      </w:r>
      <w:r w:rsidR="008F1DA4" w:rsidRPr="00BF3AE7">
        <w:rPr>
          <w:rFonts w:asciiTheme="majorHAnsi" w:hAnsiTheme="majorHAnsi" w:cstheme="majorHAnsi"/>
        </w:rPr>
        <w:t>glig utvikling og på utviklings</w:t>
      </w:r>
      <w:r w:rsidRPr="00BF3AE7">
        <w:rPr>
          <w:rFonts w:asciiTheme="majorHAnsi" w:hAnsiTheme="majorHAnsi" w:cstheme="majorHAnsi"/>
        </w:rPr>
        <w:t xml:space="preserve">arbeid for å kunne levere utdanning som </w:t>
      </w:r>
      <w:r w:rsidR="00F052FB" w:rsidRPr="00BF3AE7">
        <w:rPr>
          <w:rFonts w:asciiTheme="majorHAnsi" w:hAnsiTheme="majorHAnsi" w:cstheme="majorHAnsi"/>
        </w:rPr>
        <w:t>samsvarer med</w:t>
      </w:r>
      <w:r w:rsidRPr="00BF3AE7">
        <w:rPr>
          <w:rFonts w:asciiTheme="majorHAnsi" w:hAnsiTheme="majorHAnsi" w:cstheme="majorHAnsi"/>
        </w:rPr>
        <w:t xml:space="preserve"> samfunnets og arbeidslivets behov. </w:t>
      </w:r>
      <w:r w:rsidR="007428D1" w:rsidRPr="00BF3AE7">
        <w:rPr>
          <w:rFonts w:asciiTheme="majorHAnsi" w:hAnsiTheme="majorHAnsi" w:cstheme="majorHAnsi"/>
        </w:rPr>
        <w:t>Vi tror det er nødvendig å ha mer fokus på andre virkemidler for å sikre og utvikle høy kvalitet i høyere utdanning. Etter vår oppfatning bør det derfor gjøres en fornyet vurdering av hvordan staten skal følge opp kvalitets- og utviklingsarbeidet ved institusjonene.</w:t>
      </w:r>
    </w:p>
    <w:p w14:paraId="312159C1" w14:textId="77777777" w:rsidR="00246CC6" w:rsidRPr="00BF3AE7" w:rsidRDefault="00624DE2" w:rsidP="00510825">
      <w:pPr>
        <w:pStyle w:val="Overskrift1"/>
        <w:numPr>
          <w:ilvl w:val="0"/>
          <w:numId w:val="11"/>
        </w:numPr>
        <w:rPr>
          <w:rFonts w:cstheme="majorHAnsi"/>
        </w:rPr>
      </w:pPr>
      <w:bookmarkStart w:id="8" w:name="_Toc12631433"/>
      <w:r w:rsidRPr="00BF3AE7">
        <w:rPr>
          <w:rFonts w:cstheme="majorHAnsi"/>
        </w:rPr>
        <w:t>Regelverk</w:t>
      </w:r>
      <w:r w:rsidR="00246CC6" w:rsidRPr="00BF3AE7">
        <w:rPr>
          <w:rFonts w:cstheme="majorHAnsi"/>
        </w:rPr>
        <w:t>sstruktur</w:t>
      </w:r>
      <w:bookmarkEnd w:id="8"/>
    </w:p>
    <w:p w14:paraId="312159C2" w14:textId="77777777" w:rsidR="00441207" w:rsidRPr="00BF3AE7" w:rsidRDefault="00441207" w:rsidP="00DC41DC">
      <w:pPr>
        <w:pStyle w:val="Overskrift2"/>
        <w:numPr>
          <w:ilvl w:val="1"/>
          <w:numId w:val="11"/>
        </w:numPr>
        <w:rPr>
          <w:rFonts w:cstheme="majorHAnsi"/>
        </w:rPr>
      </w:pPr>
      <w:bookmarkStart w:id="9" w:name="_Toc12631434"/>
      <w:r w:rsidRPr="00BF3AE7">
        <w:rPr>
          <w:rFonts w:cstheme="majorHAnsi"/>
        </w:rPr>
        <w:t>Innledning</w:t>
      </w:r>
      <w:bookmarkEnd w:id="9"/>
    </w:p>
    <w:p w14:paraId="389D01EB" w14:textId="77777777" w:rsidR="00A51779" w:rsidRDefault="00D27BA6" w:rsidP="00014BE0">
      <w:pPr>
        <w:spacing w:line="276" w:lineRule="auto"/>
        <w:rPr>
          <w:rFonts w:asciiTheme="majorHAnsi" w:hAnsiTheme="majorHAnsi" w:cstheme="majorHAnsi"/>
        </w:rPr>
      </w:pPr>
      <w:r w:rsidRPr="00BF3AE7">
        <w:rPr>
          <w:rFonts w:asciiTheme="majorHAnsi" w:eastAsia="Calibri" w:hAnsiTheme="majorHAnsi" w:cstheme="majorHAnsi"/>
        </w:rPr>
        <w:t>Der lovlighetskontroll sk</w:t>
      </w:r>
      <w:r w:rsidR="00216F60">
        <w:rPr>
          <w:rFonts w:asciiTheme="majorHAnsi" w:eastAsia="Calibri" w:hAnsiTheme="majorHAnsi" w:cstheme="majorHAnsi"/>
        </w:rPr>
        <w:t>al brukes som styringsmiddel er</w:t>
      </w:r>
      <w:r w:rsidRPr="00BF3AE7">
        <w:rPr>
          <w:rFonts w:asciiTheme="majorHAnsi" w:eastAsia="Calibri" w:hAnsiTheme="majorHAnsi" w:cstheme="majorHAnsi"/>
        </w:rPr>
        <w:t xml:space="preserve"> brukervennligheten av regelverket </w:t>
      </w:r>
      <w:r w:rsidR="00183254">
        <w:rPr>
          <w:rFonts w:asciiTheme="majorHAnsi" w:eastAsia="Calibri" w:hAnsiTheme="majorHAnsi" w:cstheme="majorHAnsi"/>
        </w:rPr>
        <w:t xml:space="preserve">sentralt, spesielt </w:t>
      </w:r>
      <w:r w:rsidR="00F37B1D" w:rsidRPr="00BF3AE7">
        <w:rPr>
          <w:rFonts w:asciiTheme="majorHAnsi" w:hAnsiTheme="majorHAnsi" w:cstheme="majorHAnsi"/>
        </w:rPr>
        <w:t>hvordan lov- og forskriftsstr</w:t>
      </w:r>
      <w:r w:rsidR="001C7220">
        <w:rPr>
          <w:rFonts w:asciiTheme="majorHAnsi" w:hAnsiTheme="majorHAnsi" w:cstheme="majorHAnsi"/>
        </w:rPr>
        <w:t>ukturen er bygget opp</w:t>
      </w:r>
      <w:r w:rsidR="00183254">
        <w:rPr>
          <w:rFonts w:asciiTheme="majorHAnsi" w:hAnsiTheme="majorHAnsi" w:cstheme="majorHAnsi"/>
        </w:rPr>
        <w:t xml:space="preserve">. </w:t>
      </w:r>
    </w:p>
    <w:p w14:paraId="3B7B2F20" w14:textId="77777777" w:rsidR="00A51779" w:rsidRDefault="00A51779" w:rsidP="00014BE0">
      <w:pPr>
        <w:spacing w:line="276" w:lineRule="auto"/>
        <w:rPr>
          <w:rFonts w:asciiTheme="majorHAnsi" w:hAnsiTheme="majorHAnsi" w:cstheme="majorHAnsi"/>
        </w:rPr>
      </w:pPr>
    </w:p>
    <w:p w14:paraId="239F2546" w14:textId="7FCBA7AD" w:rsidR="00746C38" w:rsidRPr="00BF3AE7" w:rsidRDefault="00746C38" w:rsidP="00014BE0">
      <w:pPr>
        <w:spacing w:line="276" w:lineRule="auto"/>
        <w:rPr>
          <w:rFonts w:asciiTheme="majorHAnsi" w:eastAsia="Calibri" w:hAnsiTheme="majorHAnsi" w:cstheme="majorHAnsi"/>
        </w:rPr>
      </w:pPr>
      <w:r w:rsidRPr="00BF3AE7">
        <w:rPr>
          <w:rFonts w:asciiTheme="majorHAnsi" w:eastAsia="Calibri" w:hAnsiTheme="majorHAnsi" w:cstheme="majorHAnsi"/>
        </w:rPr>
        <w:t>Behovet og potensialet for en rettst</w:t>
      </w:r>
      <w:r w:rsidR="00D0700D" w:rsidRPr="00BF3AE7">
        <w:rPr>
          <w:rFonts w:asciiTheme="majorHAnsi" w:eastAsia="Calibri" w:hAnsiTheme="majorHAnsi" w:cstheme="majorHAnsi"/>
        </w:rPr>
        <w:t>eknisk forenkling av regelverkss</w:t>
      </w:r>
      <w:r w:rsidRPr="00BF3AE7">
        <w:rPr>
          <w:rFonts w:asciiTheme="majorHAnsi" w:eastAsia="Calibri" w:hAnsiTheme="majorHAnsi" w:cstheme="majorHAnsi"/>
        </w:rPr>
        <w:t xml:space="preserve">trukturen </w:t>
      </w:r>
      <w:r w:rsidR="00D0700D" w:rsidRPr="00BF3AE7">
        <w:rPr>
          <w:rFonts w:asciiTheme="majorHAnsi" w:eastAsia="Calibri" w:hAnsiTheme="majorHAnsi" w:cstheme="majorHAnsi"/>
        </w:rPr>
        <w:t xml:space="preserve">på universitets- og høyskolesektoren </w:t>
      </w:r>
      <w:r w:rsidRPr="00BF3AE7">
        <w:rPr>
          <w:rFonts w:asciiTheme="majorHAnsi" w:eastAsia="Calibri" w:hAnsiTheme="majorHAnsi" w:cstheme="majorHAnsi"/>
        </w:rPr>
        <w:t>er etter vår oppfatning betydelig. Det bør blant annet foretas en fornyet vurdering og tydeliggjøring av hvilke type regler som skal reguleres på de ulike nivåene av lov- og forskriftshierarkiet, overlappende regulering i ulike forskrifter bør reduseres og en del av gjeldene forskrifter bør antakelig slås sammen, kortes ned eller avskaffes.</w:t>
      </w:r>
    </w:p>
    <w:p w14:paraId="312159C4" w14:textId="77777777" w:rsidR="00014BE0" w:rsidRPr="00BF3AE7" w:rsidRDefault="00014BE0" w:rsidP="00014BE0">
      <w:pPr>
        <w:spacing w:line="276" w:lineRule="auto"/>
        <w:rPr>
          <w:rFonts w:asciiTheme="majorHAnsi" w:eastAsia="Calibri" w:hAnsiTheme="majorHAnsi" w:cstheme="majorHAnsi"/>
        </w:rPr>
      </w:pPr>
    </w:p>
    <w:p w14:paraId="312159C5" w14:textId="77777777" w:rsidR="00441207" w:rsidRPr="00BF3AE7" w:rsidRDefault="00F567A9" w:rsidP="00DC41DC">
      <w:pPr>
        <w:pStyle w:val="Overskrift2"/>
        <w:numPr>
          <w:ilvl w:val="1"/>
          <w:numId w:val="11"/>
        </w:numPr>
        <w:rPr>
          <w:rFonts w:cstheme="majorHAnsi"/>
        </w:rPr>
      </w:pPr>
      <w:bookmarkStart w:id="10" w:name="_Toc12631435"/>
      <w:r w:rsidRPr="00BF3AE7">
        <w:rPr>
          <w:rFonts w:cstheme="majorHAnsi"/>
        </w:rPr>
        <w:t>Forskrift</w:t>
      </w:r>
      <w:r w:rsidR="00441207" w:rsidRPr="00BF3AE7">
        <w:rPr>
          <w:rFonts w:cstheme="majorHAnsi"/>
        </w:rPr>
        <w:t>sstruktur</w:t>
      </w:r>
      <w:bookmarkEnd w:id="10"/>
      <w:r w:rsidR="00441207" w:rsidRPr="00BF3AE7">
        <w:rPr>
          <w:rFonts w:cstheme="majorHAnsi"/>
        </w:rPr>
        <w:t xml:space="preserve"> </w:t>
      </w:r>
    </w:p>
    <w:p w14:paraId="46E6B46C" w14:textId="307C53C5" w:rsidR="00C72363" w:rsidRPr="00BF3AE7" w:rsidRDefault="002C3D26" w:rsidP="00F467F4">
      <w:pPr>
        <w:spacing w:line="276" w:lineRule="auto"/>
        <w:rPr>
          <w:rFonts w:asciiTheme="majorHAnsi" w:eastAsia="Calibri" w:hAnsiTheme="majorHAnsi" w:cstheme="majorHAnsi"/>
        </w:rPr>
      </w:pPr>
      <w:r w:rsidRPr="00BF3AE7">
        <w:rPr>
          <w:rFonts w:asciiTheme="majorHAnsi" w:eastAsia="Calibri" w:hAnsiTheme="majorHAnsi" w:cstheme="majorHAnsi"/>
        </w:rPr>
        <w:t>NOKUT sine bestemmelser vedrørende kvalitetsarbeid, akkreditering og tilsyn er i dag gitt på tre nivåer i regelverket</w:t>
      </w:r>
      <w:r w:rsidR="009C07D0" w:rsidRPr="00BF3AE7">
        <w:rPr>
          <w:rFonts w:asciiTheme="majorHAnsi" w:eastAsia="Calibri" w:hAnsiTheme="majorHAnsi" w:cstheme="majorHAnsi"/>
        </w:rPr>
        <w:t xml:space="preserve">. </w:t>
      </w:r>
      <w:r w:rsidR="00755BEA" w:rsidRPr="00BF3AE7">
        <w:rPr>
          <w:rFonts w:asciiTheme="majorHAnsi" w:eastAsia="Calibri" w:hAnsiTheme="majorHAnsi" w:cstheme="majorHAnsi"/>
        </w:rPr>
        <w:t xml:space="preserve">Både Kunnskapsdepartementet, NOKUT og institusjonene selv er i </w:t>
      </w:r>
      <w:r w:rsidR="00734176">
        <w:rPr>
          <w:rFonts w:asciiTheme="majorHAnsi" w:eastAsia="Calibri" w:hAnsiTheme="majorHAnsi" w:cstheme="majorHAnsi"/>
        </w:rPr>
        <w:t>universitets- og høyskole</w:t>
      </w:r>
      <w:r w:rsidR="00755BEA" w:rsidRPr="00BF3AE7">
        <w:rPr>
          <w:rFonts w:asciiTheme="majorHAnsi" w:eastAsia="Calibri" w:hAnsiTheme="majorHAnsi" w:cstheme="majorHAnsi"/>
        </w:rPr>
        <w:t xml:space="preserve">loven gitt egne forskriftshjemler. </w:t>
      </w:r>
      <w:r w:rsidR="00C72363" w:rsidRPr="00BF3AE7">
        <w:rPr>
          <w:rFonts w:asciiTheme="majorHAnsi" w:eastAsia="Calibri" w:hAnsiTheme="majorHAnsi" w:cstheme="majorHAnsi"/>
        </w:rPr>
        <w:t xml:space="preserve">Forskriftsstrukturen fremstår som svært uoversiktlig med </w:t>
      </w:r>
      <w:r w:rsidR="00677719">
        <w:rPr>
          <w:rFonts w:asciiTheme="majorHAnsi" w:eastAsia="Calibri" w:hAnsiTheme="majorHAnsi" w:cstheme="majorHAnsi"/>
        </w:rPr>
        <w:t>flere</w:t>
      </w:r>
      <w:r w:rsidR="00C72363" w:rsidRPr="00BF3AE7">
        <w:rPr>
          <w:rFonts w:asciiTheme="majorHAnsi" w:eastAsia="Calibri" w:hAnsiTheme="majorHAnsi" w:cstheme="majorHAnsi"/>
        </w:rPr>
        <w:t xml:space="preserve"> til dels omfangsrike forskrifter. </w:t>
      </w:r>
      <w:r w:rsidR="00353064" w:rsidRPr="00BF3AE7">
        <w:rPr>
          <w:rFonts w:asciiTheme="majorHAnsi" w:eastAsia="Calibri" w:hAnsiTheme="majorHAnsi" w:cstheme="majorHAnsi"/>
        </w:rPr>
        <w:t>Etter NOKUTs</w:t>
      </w:r>
      <w:r w:rsidR="009A44FA" w:rsidRPr="00BF3AE7">
        <w:rPr>
          <w:rFonts w:asciiTheme="majorHAnsi" w:eastAsia="Calibri" w:hAnsiTheme="majorHAnsi" w:cstheme="majorHAnsi"/>
        </w:rPr>
        <w:t xml:space="preserve"> oppfatning er det behov for en gjennomgang av dette regelverket med sikte på forenkling og økt brukervennlighet. </w:t>
      </w:r>
    </w:p>
    <w:p w14:paraId="0DBCE64B" w14:textId="77777777" w:rsidR="00C72363" w:rsidRPr="00BF3AE7" w:rsidRDefault="00C72363" w:rsidP="00F467F4">
      <w:pPr>
        <w:spacing w:line="276" w:lineRule="auto"/>
        <w:rPr>
          <w:rFonts w:asciiTheme="majorHAnsi" w:eastAsia="Calibri" w:hAnsiTheme="majorHAnsi" w:cstheme="majorHAnsi"/>
        </w:rPr>
      </w:pPr>
    </w:p>
    <w:p w14:paraId="312159CC" w14:textId="5706690F" w:rsidR="006B6697" w:rsidRPr="00BF3AE7" w:rsidRDefault="009A44FA" w:rsidP="006B6697">
      <w:pPr>
        <w:spacing w:line="276" w:lineRule="auto"/>
        <w:rPr>
          <w:rFonts w:asciiTheme="majorHAnsi" w:eastAsia="Calibri" w:hAnsiTheme="majorHAnsi" w:cstheme="majorHAnsi"/>
        </w:rPr>
      </w:pPr>
      <w:r w:rsidRPr="00BF3AE7">
        <w:rPr>
          <w:rFonts w:asciiTheme="majorHAnsi" w:eastAsia="Calibri" w:hAnsiTheme="majorHAnsi" w:cstheme="majorHAnsi"/>
        </w:rPr>
        <w:t xml:space="preserve">NOKUT har særlig merket seg behovet for en helhetlig gjennomgang av Kunnskapsdepartementets </w:t>
      </w:r>
      <w:r w:rsidR="00141611">
        <w:rPr>
          <w:rFonts w:asciiTheme="majorHAnsi" w:eastAsia="Calibri" w:hAnsiTheme="majorHAnsi" w:cstheme="majorHAnsi"/>
        </w:rPr>
        <w:t>studiekvalitetsforskriften</w:t>
      </w:r>
      <w:r w:rsidRPr="00BF3AE7">
        <w:rPr>
          <w:rFonts w:asciiTheme="majorHAnsi" w:eastAsia="Calibri" w:hAnsiTheme="majorHAnsi" w:cstheme="majorHAnsi"/>
        </w:rPr>
        <w:t xml:space="preserve"> og NOKUTs </w:t>
      </w:r>
      <w:r w:rsidR="00141611">
        <w:rPr>
          <w:rFonts w:asciiTheme="majorHAnsi" w:eastAsia="Calibri" w:hAnsiTheme="majorHAnsi" w:cstheme="majorHAnsi"/>
        </w:rPr>
        <w:t>studietilsynsforskriften</w:t>
      </w:r>
      <w:r w:rsidR="009C43FC">
        <w:rPr>
          <w:rFonts w:asciiTheme="majorHAnsi" w:eastAsia="Calibri" w:hAnsiTheme="majorHAnsi" w:cstheme="majorHAnsi"/>
        </w:rPr>
        <w:t>,</w:t>
      </w:r>
      <w:r w:rsidRPr="00BF3AE7">
        <w:rPr>
          <w:rFonts w:asciiTheme="majorHAnsi" w:eastAsia="Calibri" w:hAnsiTheme="majorHAnsi" w:cstheme="majorHAnsi"/>
        </w:rPr>
        <w:t xml:space="preserve"> som gir utfyllende bestemmelser</w:t>
      </w:r>
      <w:r w:rsidR="00A330E6" w:rsidRPr="00BF3AE7">
        <w:rPr>
          <w:rFonts w:asciiTheme="majorHAnsi" w:eastAsia="Calibri" w:hAnsiTheme="majorHAnsi" w:cstheme="majorHAnsi"/>
        </w:rPr>
        <w:t xml:space="preserve"> til departementets forskrift</w:t>
      </w:r>
      <w:r w:rsidR="009C43FC">
        <w:rPr>
          <w:rFonts w:asciiTheme="majorHAnsi" w:eastAsia="Calibri" w:hAnsiTheme="majorHAnsi" w:cstheme="majorHAnsi"/>
        </w:rPr>
        <w:t>.</w:t>
      </w:r>
      <w:r w:rsidR="002F2F56" w:rsidRPr="00BF3AE7">
        <w:rPr>
          <w:rFonts w:asciiTheme="majorHAnsi" w:eastAsia="Calibri" w:hAnsiTheme="majorHAnsi" w:cstheme="majorHAnsi"/>
        </w:rPr>
        <w:t xml:space="preserve"> </w:t>
      </w:r>
      <w:r w:rsidR="006B6697" w:rsidRPr="00BF3AE7">
        <w:rPr>
          <w:rFonts w:asciiTheme="majorHAnsi" w:eastAsia="Calibri" w:hAnsiTheme="majorHAnsi" w:cstheme="majorHAnsi"/>
        </w:rPr>
        <w:t xml:space="preserve">For NOKUT fremstår det som unødig kompliserende at departementet og NOKUT fastsetter hver sine forskrifter om grunnleggende samme tematikk rettet mot samme pliktsubjekter. </w:t>
      </w:r>
      <w:r w:rsidR="00E06F40" w:rsidRPr="00BF3AE7">
        <w:rPr>
          <w:rFonts w:asciiTheme="majorHAnsi" w:eastAsia="Calibri" w:hAnsiTheme="majorHAnsi" w:cstheme="majorHAnsi"/>
        </w:rPr>
        <w:t>K</w:t>
      </w:r>
      <w:r w:rsidR="006B6697" w:rsidRPr="00BF3AE7">
        <w:rPr>
          <w:rFonts w:asciiTheme="majorHAnsi" w:eastAsia="Calibri" w:hAnsiTheme="majorHAnsi" w:cstheme="majorHAnsi"/>
        </w:rPr>
        <w:t>onsekvensen er at den som vil skaffe seg en fullstendig ov</w:t>
      </w:r>
      <w:r w:rsidR="005003A7" w:rsidRPr="00BF3AE7">
        <w:rPr>
          <w:rFonts w:asciiTheme="majorHAnsi" w:eastAsia="Calibri" w:hAnsiTheme="majorHAnsi" w:cstheme="majorHAnsi"/>
        </w:rPr>
        <w:t xml:space="preserve">ersikt over regelverket må lese </w:t>
      </w:r>
      <w:r w:rsidR="006B6697" w:rsidRPr="00BF3AE7">
        <w:rPr>
          <w:rFonts w:asciiTheme="majorHAnsi" w:eastAsia="Calibri" w:hAnsiTheme="majorHAnsi" w:cstheme="majorHAnsi"/>
        </w:rPr>
        <w:t xml:space="preserve">både loven og to forskrifter hver for seg og opp mot hverandre. Dette er tungvint både for de som skal forvalte regelverket og for de som er forpliktet av det. </w:t>
      </w:r>
    </w:p>
    <w:p w14:paraId="312159CD" w14:textId="77777777" w:rsidR="00441207" w:rsidRPr="00BF3AE7" w:rsidRDefault="00441207" w:rsidP="00F467F4">
      <w:pPr>
        <w:spacing w:line="276" w:lineRule="auto"/>
        <w:rPr>
          <w:rFonts w:asciiTheme="majorHAnsi" w:eastAsia="Calibri" w:hAnsiTheme="majorHAnsi" w:cstheme="majorHAnsi"/>
        </w:rPr>
      </w:pPr>
    </w:p>
    <w:p w14:paraId="532A43E0" w14:textId="7D641A60" w:rsidR="009960AB" w:rsidRPr="00BF3AE7" w:rsidRDefault="00246CC6" w:rsidP="009960AB">
      <w:pPr>
        <w:spacing w:line="276" w:lineRule="auto"/>
        <w:rPr>
          <w:rFonts w:asciiTheme="majorHAnsi" w:hAnsiTheme="majorHAnsi" w:cstheme="majorHAnsi"/>
        </w:rPr>
      </w:pPr>
      <w:r w:rsidRPr="00BF3AE7">
        <w:rPr>
          <w:rFonts w:asciiTheme="majorHAnsi" w:hAnsiTheme="majorHAnsi" w:cstheme="majorHAnsi"/>
        </w:rPr>
        <w:lastRenderedPageBreak/>
        <w:t>Grensesnittet mellom de ulike forskriftene fremstår i mange tilfe</w:t>
      </w:r>
      <w:r w:rsidR="00775AAD" w:rsidRPr="00BF3AE7">
        <w:rPr>
          <w:rFonts w:asciiTheme="majorHAnsi" w:hAnsiTheme="majorHAnsi" w:cstheme="majorHAnsi"/>
        </w:rPr>
        <w:t xml:space="preserve">ller </w:t>
      </w:r>
      <w:r w:rsidR="00C7059F" w:rsidRPr="00BF3AE7">
        <w:rPr>
          <w:rFonts w:asciiTheme="majorHAnsi" w:hAnsiTheme="majorHAnsi" w:cstheme="majorHAnsi"/>
        </w:rPr>
        <w:t xml:space="preserve">også </w:t>
      </w:r>
      <w:r w:rsidR="00775AAD" w:rsidRPr="00BF3AE7">
        <w:rPr>
          <w:rFonts w:asciiTheme="majorHAnsi" w:hAnsiTheme="majorHAnsi" w:cstheme="majorHAnsi"/>
        </w:rPr>
        <w:t>som utilstrekkelig avklart. Dette</w:t>
      </w:r>
      <w:r w:rsidR="006A61B8">
        <w:rPr>
          <w:rFonts w:asciiTheme="majorHAnsi" w:hAnsiTheme="majorHAnsi" w:cstheme="majorHAnsi"/>
        </w:rPr>
        <w:t xml:space="preserve"> medfører at det finnes </w:t>
      </w:r>
      <w:r w:rsidRPr="00BF3AE7">
        <w:rPr>
          <w:rFonts w:asciiTheme="majorHAnsi" w:hAnsiTheme="majorHAnsi" w:cstheme="majorHAnsi"/>
        </w:rPr>
        <w:t>dobbeltregulering</w:t>
      </w:r>
      <w:r w:rsidR="00F86AA4" w:rsidRPr="00BF3AE7">
        <w:rPr>
          <w:rFonts w:asciiTheme="majorHAnsi" w:hAnsiTheme="majorHAnsi" w:cstheme="majorHAnsi"/>
        </w:rPr>
        <w:t xml:space="preserve"> som skaper utfo</w:t>
      </w:r>
      <w:r w:rsidR="00C7059F" w:rsidRPr="00BF3AE7">
        <w:rPr>
          <w:rFonts w:asciiTheme="majorHAnsi" w:hAnsiTheme="majorHAnsi" w:cstheme="majorHAnsi"/>
        </w:rPr>
        <w:t xml:space="preserve">rdringer med hensyn til </w:t>
      </w:r>
      <w:r w:rsidR="00F86AA4" w:rsidRPr="00BF3AE7">
        <w:rPr>
          <w:rFonts w:asciiTheme="majorHAnsi" w:hAnsiTheme="majorHAnsi" w:cstheme="majorHAnsi"/>
        </w:rPr>
        <w:t>innbyrdes konsistens mellom forskriftene</w:t>
      </w:r>
      <w:r w:rsidR="00C7059F" w:rsidRPr="00BF3AE7">
        <w:rPr>
          <w:rFonts w:asciiTheme="majorHAnsi" w:hAnsiTheme="majorHAnsi" w:cstheme="majorHAnsi"/>
        </w:rPr>
        <w:t xml:space="preserve">. Spesielt uheldig er de tilfellene hvor </w:t>
      </w:r>
      <w:r w:rsidRPr="00BF3AE7">
        <w:rPr>
          <w:rFonts w:asciiTheme="majorHAnsi" w:hAnsiTheme="majorHAnsi" w:cstheme="majorHAnsi"/>
        </w:rPr>
        <w:t>regler med samme eller overlappende rettslige innhold er gitt med forskjellig ordlyd i de ulike forskriftene. Dette skaper uklarhet med hensyn til om variasjonene i ordlyden innebærer betydningsforskjeller. Slik dobbeltregulering med samme eller beslekte</w:t>
      </w:r>
      <w:r w:rsidR="00AB6B89" w:rsidRPr="00BF3AE7">
        <w:rPr>
          <w:rFonts w:asciiTheme="majorHAnsi" w:hAnsiTheme="majorHAnsi" w:cstheme="majorHAnsi"/>
        </w:rPr>
        <w:t xml:space="preserve">de regler i ulik språkdrakt </w:t>
      </w:r>
      <w:r w:rsidRPr="00BF3AE7">
        <w:rPr>
          <w:rFonts w:asciiTheme="majorHAnsi" w:hAnsiTheme="majorHAnsi" w:cstheme="majorHAnsi"/>
        </w:rPr>
        <w:t xml:space="preserve">finnes for eksempel i </w:t>
      </w:r>
      <w:r w:rsidR="00C42DAE" w:rsidRPr="00BF3AE7">
        <w:rPr>
          <w:rFonts w:asciiTheme="majorHAnsi" w:hAnsiTheme="majorHAnsi" w:cstheme="majorHAnsi"/>
        </w:rPr>
        <w:t xml:space="preserve">nevnte </w:t>
      </w:r>
      <w:r w:rsidRPr="00BF3AE7">
        <w:rPr>
          <w:rFonts w:asciiTheme="majorHAnsi" w:hAnsiTheme="majorHAnsi" w:cstheme="majorHAnsi"/>
        </w:rPr>
        <w:t>studi</w:t>
      </w:r>
      <w:r w:rsidR="00C42DAE" w:rsidRPr="00BF3AE7">
        <w:rPr>
          <w:rFonts w:asciiTheme="majorHAnsi" w:hAnsiTheme="majorHAnsi" w:cstheme="majorHAnsi"/>
        </w:rPr>
        <w:t xml:space="preserve">ekvalitetsforskrift og </w:t>
      </w:r>
      <w:r w:rsidRPr="00BF3AE7">
        <w:rPr>
          <w:rFonts w:asciiTheme="majorHAnsi" w:hAnsiTheme="majorHAnsi" w:cstheme="majorHAnsi"/>
        </w:rPr>
        <w:t xml:space="preserve">studietilsynsforskrift. </w:t>
      </w:r>
    </w:p>
    <w:p w14:paraId="5DEC2D75" w14:textId="77777777" w:rsidR="009960AB" w:rsidRPr="00BF3AE7" w:rsidRDefault="009960AB" w:rsidP="009960AB">
      <w:pPr>
        <w:spacing w:line="276" w:lineRule="auto"/>
        <w:rPr>
          <w:rFonts w:asciiTheme="majorHAnsi" w:hAnsiTheme="majorHAnsi" w:cstheme="majorHAnsi"/>
        </w:rPr>
      </w:pPr>
    </w:p>
    <w:p w14:paraId="44FCEED0" w14:textId="77777777" w:rsidR="00137C17" w:rsidRDefault="009960AB" w:rsidP="009960AB">
      <w:pPr>
        <w:spacing w:line="276" w:lineRule="auto"/>
        <w:rPr>
          <w:rFonts w:asciiTheme="majorHAnsi" w:eastAsia="Calibri" w:hAnsiTheme="majorHAnsi" w:cstheme="majorHAnsi"/>
        </w:rPr>
      </w:pPr>
      <w:r w:rsidRPr="00BF3AE7">
        <w:rPr>
          <w:rFonts w:asciiTheme="majorHAnsi" w:eastAsia="Calibri" w:hAnsiTheme="majorHAnsi" w:cstheme="majorHAnsi"/>
        </w:rPr>
        <w:t xml:space="preserve">Forskriftsbestemmelser om grunnleggende samme tematikk rettet mot samme pliktobjekter bør være samlet i en og samme forskrift. Ved å samle bestemmelser om samme tema slipper institusjonene forholde seg til unødvendig mange regelsett og kan enklere skaffe seg et fullstendig overblikk over kravene som påhviler dem. Dette </w:t>
      </w:r>
      <w:r w:rsidR="004B5CB2" w:rsidRPr="00BF3AE7">
        <w:rPr>
          <w:rFonts w:asciiTheme="majorHAnsi" w:eastAsia="Calibri" w:hAnsiTheme="majorHAnsi" w:cstheme="majorHAnsi"/>
        </w:rPr>
        <w:t xml:space="preserve">bidrar til bedre rammebetingelser for koordinering av regler </w:t>
      </w:r>
      <w:r w:rsidR="004B5CB2">
        <w:rPr>
          <w:rFonts w:asciiTheme="majorHAnsi" w:eastAsia="Calibri" w:hAnsiTheme="majorHAnsi" w:cstheme="majorHAnsi"/>
        </w:rPr>
        <w:t>og øker</w:t>
      </w:r>
      <w:r w:rsidRPr="00BF3AE7">
        <w:rPr>
          <w:rFonts w:asciiTheme="majorHAnsi" w:eastAsia="Calibri" w:hAnsiTheme="majorHAnsi" w:cstheme="majorHAnsi"/>
        </w:rPr>
        <w:t xml:space="preserve"> brukervennlighet</w:t>
      </w:r>
      <w:r w:rsidR="004B5CB2">
        <w:rPr>
          <w:rFonts w:asciiTheme="majorHAnsi" w:eastAsia="Calibri" w:hAnsiTheme="majorHAnsi" w:cstheme="majorHAnsi"/>
        </w:rPr>
        <w:t>en.</w:t>
      </w:r>
    </w:p>
    <w:p w14:paraId="56F72B52" w14:textId="77777777" w:rsidR="00137C17" w:rsidRDefault="00137C17" w:rsidP="009960AB">
      <w:pPr>
        <w:spacing w:line="276" w:lineRule="auto"/>
        <w:rPr>
          <w:rFonts w:asciiTheme="majorHAnsi" w:eastAsia="Calibri" w:hAnsiTheme="majorHAnsi" w:cstheme="majorHAnsi"/>
        </w:rPr>
      </w:pPr>
    </w:p>
    <w:p w14:paraId="5905B580" w14:textId="43839AA8" w:rsidR="009960AB" w:rsidRPr="00BF3AE7" w:rsidRDefault="007515D7" w:rsidP="009960AB">
      <w:pPr>
        <w:spacing w:line="276" w:lineRule="auto"/>
        <w:rPr>
          <w:rFonts w:asciiTheme="majorHAnsi" w:eastAsia="Calibri" w:hAnsiTheme="majorHAnsi" w:cstheme="majorHAnsi"/>
        </w:rPr>
      </w:pPr>
      <w:r w:rsidRPr="00BF3AE7">
        <w:rPr>
          <w:rFonts w:asciiTheme="majorHAnsi" w:eastAsia="Calibri" w:hAnsiTheme="majorHAnsi" w:cstheme="majorHAnsi"/>
        </w:rPr>
        <w:t>Kunnskapsdepartementet har uttrykt ønske om en utvikling der NOKUT i større grad overtar ansvaret</w:t>
      </w:r>
      <w:r w:rsidR="00BB50EB">
        <w:rPr>
          <w:rFonts w:asciiTheme="majorHAnsi" w:eastAsia="Calibri" w:hAnsiTheme="majorHAnsi" w:cstheme="majorHAnsi"/>
        </w:rPr>
        <w:t xml:space="preserve"> for forskriftsforvaltningen i universitets- og høyskole</w:t>
      </w:r>
      <w:r w:rsidRPr="00BF3AE7">
        <w:rPr>
          <w:rFonts w:asciiTheme="majorHAnsi" w:eastAsia="Calibri" w:hAnsiTheme="majorHAnsi" w:cstheme="majorHAnsi"/>
        </w:rPr>
        <w:t>sektoren. Det vil kunne medføre en tettere dialog mellom K</w:t>
      </w:r>
      <w:r w:rsidR="004858E8" w:rsidRPr="00BF3AE7">
        <w:rPr>
          <w:rFonts w:asciiTheme="majorHAnsi" w:eastAsia="Calibri" w:hAnsiTheme="majorHAnsi" w:cstheme="majorHAnsi"/>
        </w:rPr>
        <w:t>unnskapsderpartementet</w:t>
      </w:r>
      <w:r w:rsidRPr="00BF3AE7">
        <w:rPr>
          <w:rFonts w:asciiTheme="majorHAnsi" w:eastAsia="Calibri" w:hAnsiTheme="majorHAnsi" w:cstheme="majorHAnsi"/>
        </w:rPr>
        <w:t xml:space="preserve"> og NOKUT med tanke på å utvikle et adekvat regelverk på dette området. </w:t>
      </w:r>
    </w:p>
    <w:p w14:paraId="57A56B45" w14:textId="77777777" w:rsidR="00220CC2" w:rsidRPr="00BF3AE7" w:rsidRDefault="00220CC2" w:rsidP="009960AB">
      <w:pPr>
        <w:spacing w:line="276" w:lineRule="auto"/>
        <w:rPr>
          <w:rFonts w:asciiTheme="majorHAnsi" w:eastAsia="Calibri" w:hAnsiTheme="majorHAnsi" w:cstheme="majorHAnsi"/>
        </w:rPr>
      </w:pPr>
    </w:p>
    <w:p w14:paraId="28B5A520" w14:textId="77777777" w:rsidR="00220CC2" w:rsidRPr="00BF3AE7" w:rsidRDefault="00220CC2" w:rsidP="00220CC2">
      <w:pPr>
        <w:pStyle w:val="Overskrift2"/>
        <w:numPr>
          <w:ilvl w:val="1"/>
          <w:numId w:val="11"/>
        </w:numPr>
        <w:rPr>
          <w:rFonts w:eastAsiaTheme="minorHAnsi" w:cstheme="majorHAnsi"/>
        </w:rPr>
      </w:pPr>
      <w:bookmarkStart w:id="11" w:name="_Toc12631436"/>
      <w:r w:rsidRPr="00BF3AE7">
        <w:rPr>
          <w:rFonts w:cstheme="majorHAnsi"/>
        </w:rPr>
        <w:t>Forskrifter</w:t>
      </w:r>
      <w:r w:rsidRPr="00BF3AE7">
        <w:rPr>
          <w:rFonts w:eastAsiaTheme="minorHAnsi" w:cstheme="majorHAnsi"/>
        </w:rPr>
        <w:t xml:space="preserve"> rettet mot studieprogram</w:t>
      </w:r>
      <w:bookmarkEnd w:id="11"/>
      <w:r w:rsidRPr="00BF3AE7">
        <w:rPr>
          <w:rFonts w:eastAsiaTheme="minorHAnsi" w:cstheme="majorHAnsi"/>
        </w:rPr>
        <w:t xml:space="preserve"> </w:t>
      </w:r>
    </w:p>
    <w:p w14:paraId="5B8C847B" w14:textId="3F0B4DA9" w:rsidR="00220CC2" w:rsidRPr="00BF3AE7" w:rsidRDefault="00220CC2" w:rsidP="00220CC2">
      <w:pPr>
        <w:spacing w:line="276" w:lineRule="auto"/>
        <w:rPr>
          <w:rFonts w:asciiTheme="majorHAnsi" w:hAnsiTheme="majorHAnsi" w:cstheme="majorHAnsi"/>
          <w:szCs w:val="26"/>
        </w:rPr>
      </w:pPr>
      <w:r w:rsidRPr="00BF3AE7">
        <w:rPr>
          <w:rFonts w:asciiTheme="majorHAnsi" w:hAnsiTheme="majorHAnsi" w:cstheme="majorHAnsi"/>
          <w:szCs w:val="26"/>
        </w:rPr>
        <w:t>Som et mer konkret eksempel for å illustrere omfanget av forskriftsverket institusjonene må forholde seg til</w:t>
      </w:r>
      <w:r w:rsidR="00BB1CB7">
        <w:rPr>
          <w:rFonts w:asciiTheme="majorHAnsi" w:hAnsiTheme="majorHAnsi" w:cstheme="majorHAnsi"/>
          <w:szCs w:val="26"/>
        </w:rPr>
        <w:t>,</w:t>
      </w:r>
      <w:r w:rsidRPr="00BF3AE7">
        <w:rPr>
          <w:rFonts w:asciiTheme="majorHAnsi" w:hAnsiTheme="majorHAnsi" w:cstheme="majorHAnsi"/>
          <w:szCs w:val="26"/>
        </w:rPr>
        <w:t xml:space="preserve"> ønsker vi å trekke frem reguleringen av studieprogram. Utformingen av alle studieprogram i Norge reguleres i dag av minst fem til åtte forskjellige lover, forskrifter og andre type reguleringer. Disse omfatter:</w:t>
      </w:r>
    </w:p>
    <w:p w14:paraId="38C343F1" w14:textId="77777777" w:rsidR="00220CC2" w:rsidRPr="00BF3AE7" w:rsidRDefault="00220CC2" w:rsidP="00220CC2">
      <w:pPr>
        <w:numPr>
          <w:ilvl w:val="1"/>
          <w:numId w:val="1"/>
        </w:numPr>
        <w:spacing w:line="276" w:lineRule="auto"/>
        <w:rPr>
          <w:rFonts w:asciiTheme="majorHAnsi" w:hAnsiTheme="majorHAnsi" w:cstheme="majorHAnsi"/>
          <w:szCs w:val="26"/>
        </w:rPr>
      </w:pPr>
      <w:r w:rsidRPr="00BF3AE7">
        <w:rPr>
          <w:rFonts w:asciiTheme="majorHAnsi" w:hAnsiTheme="majorHAnsi" w:cstheme="majorHAnsi"/>
          <w:szCs w:val="26"/>
        </w:rPr>
        <w:t>Universitets- og høyskoleloven</w:t>
      </w:r>
    </w:p>
    <w:p w14:paraId="3612458D" w14:textId="77777777" w:rsidR="00220CC2" w:rsidRPr="00BF3AE7" w:rsidRDefault="00220CC2" w:rsidP="00220CC2">
      <w:pPr>
        <w:numPr>
          <w:ilvl w:val="1"/>
          <w:numId w:val="1"/>
        </w:numPr>
        <w:spacing w:line="276" w:lineRule="auto"/>
        <w:rPr>
          <w:rFonts w:asciiTheme="majorHAnsi" w:hAnsiTheme="majorHAnsi" w:cstheme="majorHAnsi"/>
          <w:szCs w:val="26"/>
        </w:rPr>
      </w:pPr>
      <w:r w:rsidRPr="00BF3AE7">
        <w:rPr>
          <w:rFonts w:asciiTheme="majorHAnsi" w:hAnsiTheme="majorHAnsi" w:cstheme="majorHAnsi"/>
          <w:szCs w:val="26"/>
        </w:rPr>
        <w:t>Studiekvalitetsforskriften</w:t>
      </w:r>
    </w:p>
    <w:p w14:paraId="7602F342" w14:textId="0B06B2CD" w:rsidR="00220CC2" w:rsidRPr="00BF3AE7" w:rsidRDefault="00220CC2" w:rsidP="00220CC2">
      <w:pPr>
        <w:numPr>
          <w:ilvl w:val="1"/>
          <w:numId w:val="1"/>
        </w:numPr>
        <w:spacing w:line="276" w:lineRule="auto"/>
        <w:rPr>
          <w:rFonts w:asciiTheme="majorHAnsi" w:hAnsiTheme="majorHAnsi" w:cstheme="majorHAnsi"/>
          <w:szCs w:val="26"/>
        </w:rPr>
      </w:pPr>
      <w:r w:rsidRPr="00BF3AE7">
        <w:rPr>
          <w:rFonts w:asciiTheme="majorHAnsi" w:hAnsiTheme="majorHAnsi" w:cstheme="majorHAnsi"/>
          <w:szCs w:val="26"/>
        </w:rPr>
        <w:t xml:space="preserve">Forskrift </w:t>
      </w:r>
      <w:r w:rsidR="00B0265C">
        <w:rPr>
          <w:rFonts w:asciiTheme="majorHAnsi" w:hAnsiTheme="majorHAnsi" w:cstheme="majorHAnsi"/>
          <w:szCs w:val="26"/>
        </w:rPr>
        <w:t xml:space="preserve">8. november 2017 nr. 1846 </w:t>
      </w:r>
      <w:r w:rsidRPr="00BF3AE7">
        <w:rPr>
          <w:rFonts w:asciiTheme="majorHAnsi" w:hAnsiTheme="majorHAnsi" w:cstheme="majorHAnsi"/>
          <w:szCs w:val="26"/>
        </w:rPr>
        <w:t>om Nasjonalt kvalifikasjonsrammeverk for livslang læring og om henvisningen til Det europeiske kvalikfikasjonsrammeverket for livslang læring</w:t>
      </w:r>
    </w:p>
    <w:p w14:paraId="6A3B1E4A" w14:textId="77777777" w:rsidR="00220CC2" w:rsidRPr="00BF3AE7" w:rsidRDefault="00220CC2" w:rsidP="00220CC2">
      <w:pPr>
        <w:numPr>
          <w:ilvl w:val="1"/>
          <w:numId w:val="1"/>
        </w:numPr>
        <w:spacing w:line="276" w:lineRule="auto"/>
        <w:rPr>
          <w:rFonts w:asciiTheme="majorHAnsi" w:hAnsiTheme="majorHAnsi" w:cstheme="majorHAnsi"/>
          <w:szCs w:val="26"/>
        </w:rPr>
      </w:pPr>
      <w:r w:rsidRPr="00BF3AE7">
        <w:rPr>
          <w:rFonts w:asciiTheme="majorHAnsi" w:hAnsiTheme="majorHAnsi" w:cstheme="majorHAnsi"/>
          <w:szCs w:val="26"/>
        </w:rPr>
        <w:t>Studietilsynsforskriften</w:t>
      </w:r>
    </w:p>
    <w:p w14:paraId="7905EBB3" w14:textId="661B0265" w:rsidR="00220CC2" w:rsidRPr="00BF3AE7" w:rsidRDefault="00220CC2" w:rsidP="00220CC2">
      <w:pPr>
        <w:numPr>
          <w:ilvl w:val="1"/>
          <w:numId w:val="1"/>
        </w:numPr>
        <w:spacing w:line="276" w:lineRule="auto"/>
        <w:rPr>
          <w:rFonts w:asciiTheme="majorHAnsi" w:hAnsiTheme="majorHAnsi" w:cstheme="majorHAnsi"/>
          <w:szCs w:val="26"/>
        </w:rPr>
      </w:pPr>
      <w:r w:rsidRPr="00BF3AE7">
        <w:rPr>
          <w:rFonts w:asciiTheme="majorHAnsi" w:hAnsiTheme="majorHAnsi" w:cstheme="majorHAnsi"/>
          <w:szCs w:val="26"/>
        </w:rPr>
        <w:t>[</w:t>
      </w:r>
      <w:r w:rsidR="00A13CD5">
        <w:rPr>
          <w:rFonts w:asciiTheme="majorHAnsi" w:hAnsiTheme="majorHAnsi" w:cstheme="majorHAnsi"/>
          <w:szCs w:val="26"/>
        </w:rPr>
        <w:t xml:space="preserve">Forskrift </w:t>
      </w:r>
      <w:r w:rsidR="00BA5065">
        <w:rPr>
          <w:rFonts w:asciiTheme="majorHAnsi" w:hAnsiTheme="majorHAnsi" w:cstheme="majorHAnsi"/>
          <w:szCs w:val="26"/>
        </w:rPr>
        <w:t xml:space="preserve">1. desember 2005 nr. 1392 </w:t>
      </w:r>
      <w:r w:rsidR="007A2E7F">
        <w:rPr>
          <w:rFonts w:asciiTheme="majorHAnsi" w:hAnsiTheme="majorHAnsi" w:cstheme="majorHAnsi"/>
          <w:szCs w:val="26"/>
        </w:rPr>
        <w:t>om krav til mastergrad</w:t>
      </w:r>
      <w:r w:rsidRPr="00BF3AE7">
        <w:rPr>
          <w:rFonts w:asciiTheme="majorHAnsi" w:hAnsiTheme="majorHAnsi" w:cstheme="majorHAnsi"/>
          <w:szCs w:val="26"/>
        </w:rPr>
        <w:t xml:space="preserve"> – for alle mastergrader]</w:t>
      </w:r>
    </w:p>
    <w:p w14:paraId="733024AA" w14:textId="77777777" w:rsidR="00220CC2" w:rsidRPr="00BF3AE7" w:rsidRDefault="00220CC2" w:rsidP="00220CC2">
      <w:pPr>
        <w:numPr>
          <w:ilvl w:val="1"/>
          <w:numId w:val="1"/>
        </w:numPr>
        <w:spacing w:line="276" w:lineRule="auto"/>
        <w:rPr>
          <w:rFonts w:asciiTheme="majorHAnsi" w:hAnsiTheme="majorHAnsi" w:cstheme="majorHAnsi"/>
          <w:szCs w:val="26"/>
        </w:rPr>
      </w:pPr>
      <w:r w:rsidRPr="00BF3AE7">
        <w:rPr>
          <w:rFonts w:asciiTheme="majorHAnsi" w:hAnsiTheme="majorHAnsi" w:cstheme="majorHAnsi"/>
          <w:szCs w:val="26"/>
        </w:rPr>
        <w:t>Lokale forskrifter</w:t>
      </w:r>
    </w:p>
    <w:p w14:paraId="18FB8AAA" w14:textId="352C4D89" w:rsidR="00220CC2" w:rsidRPr="00BF3AE7" w:rsidRDefault="00220CC2" w:rsidP="00220CC2">
      <w:pPr>
        <w:numPr>
          <w:ilvl w:val="1"/>
          <w:numId w:val="1"/>
        </w:numPr>
        <w:spacing w:line="276" w:lineRule="auto"/>
        <w:rPr>
          <w:rFonts w:asciiTheme="majorHAnsi" w:hAnsiTheme="majorHAnsi" w:cstheme="majorHAnsi"/>
          <w:spacing w:val="-4"/>
          <w:szCs w:val="26"/>
        </w:rPr>
      </w:pPr>
      <w:r w:rsidRPr="00BF3AE7">
        <w:rPr>
          <w:rFonts w:asciiTheme="majorHAnsi" w:hAnsiTheme="majorHAnsi" w:cstheme="majorHAnsi"/>
          <w:spacing w:val="-4"/>
          <w:szCs w:val="26"/>
        </w:rPr>
        <w:t>[Rammeplaner –</w:t>
      </w:r>
      <w:r w:rsidR="007A2E7F">
        <w:rPr>
          <w:rFonts w:asciiTheme="majorHAnsi" w:hAnsiTheme="majorHAnsi" w:cstheme="majorHAnsi"/>
          <w:spacing w:val="-4"/>
          <w:szCs w:val="26"/>
        </w:rPr>
        <w:t xml:space="preserve"> </w:t>
      </w:r>
      <w:r w:rsidRPr="00BF3AE7">
        <w:rPr>
          <w:rFonts w:asciiTheme="majorHAnsi" w:hAnsiTheme="majorHAnsi" w:cstheme="majorHAnsi"/>
          <w:spacing w:val="-4"/>
          <w:szCs w:val="26"/>
        </w:rPr>
        <w:t>innenfor fagområdene helse, lærer, ingeniør og regnskap og revisjon]</w:t>
      </w:r>
    </w:p>
    <w:p w14:paraId="05036DCF" w14:textId="77777777" w:rsidR="00220CC2" w:rsidRPr="00BF3AE7" w:rsidRDefault="00220CC2" w:rsidP="00220CC2">
      <w:pPr>
        <w:numPr>
          <w:ilvl w:val="1"/>
          <w:numId w:val="1"/>
        </w:numPr>
        <w:spacing w:line="276" w:lineRule="auto"/>
        <w:rPr>
          <w:rFonts w:asciiTheme="majorHAnsi" w:hAnsiTheme="majorHAnsi" w:cstheme="majorHAnsi"/>
          <w:szCs w:val="26"/>
        </w:rPr>
      </w:pPr>
      <w:r w:rsidRPr="00BF3AE7">
        <w:rPr>
          <w:rFonts w:asciiTheme="majorHAnsi" w:hAnsiTheme="majorHAnsi" w:cstheme="majorHAnsi"/>
          <w:szCs w:val="26"/>
        </w:rPr>
        <w:t>[Forskriftsfestede nasjonale retningslinjer – for helseutdanninger]</w:t>
      </w:r>
    </w:p>
    <w:p w14:paraId="6F984DB4" w14:textId="77777777" w:rsidR="00220CC2" w:rsidRPr="00BF3AE7" w:rsidRDefault="00220CC2" w:rsidP="00220CC2">
      <w:pPr>
        <w:pStyle w:val="Listeavsnitt"/>
        <w:numPr>
          <w:ilvl w:val="1"/>
          <w:numId w:val="1"/>
        </w:numPr>
        <w:rPr>
          <w:rFonts w:asciiTheme="majorHAnsi" w:hAnsiTheme="majorHAnsi" w:cstheme="majorHAnsi"/>
          <w:szCs w:val="26"/>
        </w:rPr>
      </w:pPr>
      <w:r w:rsidRPr="00BF3AE7">
        <w:rPr>
          <w:rFonts w:asciiTheme="majorHAnsi" w:hAnsiTheme="majorHAnsi" w:cstheme="majorHAnsi"/>
          <w:szCs w:val="26"/>
        </w:rPr>
        <w:t>[Nasjonale eller internasjonale standarder, konvensjoner og avtaler – for maritime og luftfartsfaglige utdanninger m.m.]</w:t>
      </w:r>
    </w:p>
    <w:p w14:paraId="40E9D260" w14:textId="77777777" w:rsidR="00220CC2" w:rsidRPr="00BF3AE7" w:rsidRDefault="00220CC2" w:rsidP="00220CC2">
      <w:pPr>
        <w:spacing w:line="276" w:lineRule="auto"/>
        <w:ind w:left="1080"/>
        <w:rPr>
          <w:rFonts w:asciiTheme="majorHAnsi" w:hAnsiTheme="majorHAnsi" w:cstheme="majorHAnsi"/>
          <w:sz w:val="16"/>
          <w:szCs w:val="26"/>
        </w:rPr>
      </w:pPr>
    </w:p>
    <w:p w14:paraId="65387A93" w14:textId="77777777" w:rsidR="00220CC2" w:rsidRPr="00BF3AE7" w:rsidRDefault="00220CC2" w:rsidP="00220CC2">
      <w:pPr>
        <w:spacing w:line="276" w:lineRule="auto"/>
        <w:rPr>
          <w:rFonts w:asciiTheme="majorHAnsi" w:hAnsiTheme="majorHAnsi" w:cstheme="majorHAnsi"/>
          <w:sz w:val="16"/>
          <w:szCs w:val="26"/>
        </w:rPr>
      </w:pPr>
      <w:r w:rsidRPr="00BF3AE7">
        <w:rPr>
          <w:rFonts w:asciiTheme="majorHAnsi" w:hAnsiTheme="majorHAnsi" w:cstheme="majorHAnsi"/>
          <w:szCs w:val="26"/>
        </w:rPr>
        <w:t xml:space="preserve">I tillegg må en rekke utdanninger innrette sine studier med tanke på å oppfylle kravene i det europeiske yrkeskvalifikasjonsdirektivet. </w:t>
      </w:r>
      <w:r w:rsidRPr="00BF3AE7">
        <w:rPr>
          <w:rFonts w:asciiTheme="majorHAnsi" w:hAnsiTheme="majorHAnsi" w:cstheme="majorHAnsi"/>
          <w:szCs w:val="26"/>
        </w:rPr>
        <w:br/>
      </w:r>
    </w:p>
    <w:p w14:paraId="42C3411A" w14:textId="77777777" w:rsidR="00220CC2" w:rsidRPr="00BF3AE7" w:rsidRDefault="00220CC2" w:rsidP="00220CC2">
      <w:pPr>
        <w:spacing w:line="276" w:lineRule="auto"/>
        <w:rPr>
          <w:rFonts w:asciiTheme="majorHAnsi" w:hAnsiTheme="majorHAnsi" w:cstheme="majorHAnsi"/>
          <w:szCs w:val="22"/>
        </w:rPr>
      </w:pPr>
      <w:r w:rsidRPr="00BF3AE7">
        <w:rPr>
          <w:rFonts w:asciiTheme="majorHAnsi" w:hAnsiTheme="majorHAnsi" w:cstheme="majorHAnsi"/>
          <w:spacing w:val="-2"/>
          <w:szCs w:val="26"/>
        </w:rPr>
        <w:lastRenderedPageBreak/>
        <w:t xml:space="preserve">Grensesnittet mellom de ulike forskriftene fremstår i mange tilfeller som utilstrekkelig avklart. NOKUT har derfor </w:t>
      </w:r>
      <w:r w:rsidRPr="00BF3AE7">
        <w:rPr>
          <w:rFonts w:asciiTheme="majorHAnsi" w:hAnsiTheme="majorHAnsi" w:cstheme="majorHAnsi"/>
          <w:szCs w:val="26"/>
        </w:rPr>
        <w:t>et sterkt ønske om at utvalget gir noen tydelige signaler om behovet for opprydning og forenkling på dette området.</w:t>
      </w:r>
      <w:r w:rsidRPr="00BF3AE7">
        <w:rPr>
          <w:rFonts w:asciiTheme="majorHAnsi" w:hAnsiTheme="majorHAnsi" w:cstheme="majorHAnsi"/>
          <w:szCs w:val="22"/>
        </w:rPr>
        <w:t xml:space="preserve"> </w:t>
      </w:r>
    </w:p>
    <w:p w14:paraId="312159D5" w14:textId="77777777" w:rsidR="00246CC6" w:rsidRPr="00BF3AE7" w:rsidRDefault="00246CC6" w:rsidP="00246CC6">
      <w:pPr>
        <w:spacing w:line="276" w:lineRule="auto"/>
        <w:rPr>
          <w:rFonts w:asciiTheme="majorHAnsi" w:hAnsiTheme="majorHAnsi" w:cstheme="majorHAnsi"/>
          <w:b/>
        </w:rPr>
      </w:pPr>
    </w:p>
    <w:p w14:paraId="312159D6" w14:textId="77777777" w:rsidR="00246CC6" w:rsidRPr="00BF3AE7" w:rsidRDefault="00246CC6" w:rsidP="00F34FF6">
      <w:pPr>
        <w:pStyle w:val="Overskrift2"/>
        <w:numPr>
          <w:ilvl w:val="1"/>
          <w:numId w:val="11"/>
        </w:numPr>
        <w:rPr>
          <w:rFonts w:cstheme="majorHAnsi"/>
        </w:rPr>
      </w:pPr>
      <w:bookmarkStart w:id="12" w:name="_Toc12631437"/>
      <w:r w:rsidRPr="00BF3AE7">
        <w:rPr>
          <w:rFonts w:cstheme="majorHAnsi"/>
        </w:rPr>
        <w:t>Lokale forskrifter</w:t>
      </w:r>
      <w:bookmarkEnd w:id="12"/>
    </w:p>
    <w:p w14:paraId="312159D7" w14:textId="10F640F7" w:rsidR="00246CC6" w:rsidRPr="00BF3AE7" w:rsidRDefault="00246CC6" w:rsidP="000165D7">
      <w:pPr>
        <w:spacing w:line="276" w:lineRule="auto"/>
        <w:rPr>
          <w:rFonts w:asciiTheme="majorHAnsi" w:hAnsiTheme="majorHAnsi" w:cstheme="majorHAnsi"/>
          <w:szCs w:val="24"/>
        </w:rPr>
      </w:pPr>
      <w:r w:rsidRPr="00BF3AE7">
        <w:rPr>
          <w:rFonts w:asciiTheme="majorHAnsi" w:hAnsiTheme="majorHAnsi" w:cstheme="majorHAnsi"/>
          <w:szCs w:val="24"/>
        </w:rPr>
        <w:t>Et særlig tema er hvilken forskriftsmyndighet som skal gis til den enkelte institusjon. Regelverk som det ikk</w:t>
      </w:r>
      <w:r w:rsidR="00D541F3">
        <w:rPr>
          <w:rFonts w:asciiTheme="majorHAnsi" w:hAnsiTheme="majorHAnsi" w:cstheme="majorHAnsi"/>
          <w:szCs w:val="24"/>
        </w:rPr>
        <w:t xml:space="preserve">e er særlige grunner til at må </w:t>
      </w:r>
      <w:r w:rsidRPr="00BF3AE7">
        <w:rPr>
          <w:rFonts w:asciiTheme="majorHAnsi" w:hAnsiTheme="majorHAnsi" w:cstheme="majorHAnsi"/>
          <w:szCs w:val="24"/>
        </w:rPr>
        <w:t>tilpasses lokale forskjeller, b</w:t>
      </w:r>
      <w:r w:rsidR="00AF3FC1" w:rsidRPr="00BF3AE7">
        <w:rPr>
          <w:rFonts w:asciiTheme="majorHAnsi" w:hAnsiTheme="majorHAnsi" w:cstheme="majorHAnsi"/>
          <w:szCs w:val="24"/>
        </w:rPr>
        <w:t xml:space="preserve">ør som utgangspunkt reguleres i </w:t>
      </w:r>
      <w:r w:rsidR="001E35A2" w:rsidRPr="00BF3AE7">
        <w:rPr>
          <w:rFonts w:asciiTheme="majorHAnsi" w:hAnsiTheme="majorHAnsi" w:cstheme="majorHAnsi"/>
          <w:szCs w:val="24"/>
        </w:rPr>
        <w:t xml:space="preserve">et </w:t>
      </w:r>
      <w:r w:rsidRPr="00BF3AE7">
        <w:rPr>
          <w:rFonts w:asciiTheme="majorHAnsi" w:hAnsiTheme="majorHAnsi" w:cstheme="majorHAnsi"/>
          <w:szCs w:val="24"/>
        </w:rPr>
        <w:t xml:space="preserve">sentralt og generelt regelverk. </w:t>
      </w:r>
    </w:p>
    <w:p w14:paraId="312159D8" w14:textId="77777777" w:rsidR="008C2A6B" w:rsidRPr="00BF3AE7" w:rsidRDefault="008C2A6B" w:rsidP="000165D7">
      <w:pPr>
        <w:spacing w:line="276" w:lineRule="auto"/>
        <w:rPr>
          <w:rFonts w:asciiTheme="majorHAnsi" w:hAnsiTheme="majorHAnsi" w:cstheme="majorHAnsi"/>
          <w:szCs w:val="24"/>
        </w:rPr>
      </w:pPr>
    </w:p>
    <w:p w14:paraId="312159D9" w14:textId="701CF979" w:rsidR="00246CC6" w:rsidRPr="00BF3AE7" w:rsidRDefault="00915FD0" w:rsidP="000165D7">
      <w:pPr>
        <w:spacing w:line="276" w:lineRule="auto"/>
        <w:rPr>
          <w:rFonts w:asciiTheme="majorHAnsi" w:hAnsiTheme="majorHAnsi" w:cstheme="majorHAnsi"/>
        </w:rPr>
      </w:pPr>
      <w:r>
        <w:rPr>
          <w:rFonts w:asciiTheme="majorHAnsi" w:hAnsiTheme="majorHAnsi" w:cstheme="majorHAnsi"/>
        </w:rPr>
        <w:t>Universitets- og høyskoleloven</w:t>
      </w:r>
      <w:r w:rsidR="00246CC6" w:rsidRPr="00BF3AE7">
        <w:rPr>
          <w:rFonts w:asciiTheme="majorHAnsi" w:hAnsiTheme="majorHAnsi" w:cstheme="majorHAnsi"/>
        </w:rPr>
        <w:t xml:space="preserve"> etterlater etter vår oppfatning i overkant mange uregulerte problemstillinger som institusjonene må ta stilling til og fastsette regler for i sine lokale forskrifter. </w:t>
      </w:r>
      <w:r w:rsidR="00E0616A" w:rsidRPr="00BF3AE7">
        <w:rPr>
          <w:rFonts w:asciiTheme="majorHAnsi" w:hAnsiTheme="majorHAnsi" w:cstheme="majorHAnsi"/>
        </w:rPr>
        <w:t>H</w:t>
      </w:r>
      <w:r w:rsidR="00246CC6" w:rsidRPr="00BF3AE7">
        <w:rPr>
          <w:rFonts w:asciiTheme="majorHAnsi" w:hAnsiTheme="majorHAnsi" w:cstheme="majorHAnsi"/>
        </w:rPr>
        <w:t xml:space="preserve">jemmelsgrunnlagene for </w:t>
      </w:r>
      <w:r w:rsidR="00E80713" w:rsidRPr="00BF3AE7">
        <w:rPr>
          <w:rFonts w:asciiTheme="majorHAnsi" w:hAnsiTheme="majorHAnsi" w:cstheme="majorHAnsi"/>
        </w:rPr>
        <w:t>disse lokale forskriftene</w:t>
      </w:r>
      <w:r w:rsidR="007A2E7F">
        <w:rPr>
          <w:rFonts w:asciiTheme="majorHAnsi" w:hAnsiTheme="majorHAnsi" w:cstheme="majorHAnsi"/>
        </w:rPr>
        <w:t xml:space="preserve"> </w:t>
      </w:r>
      <w:r w:rsidR="00246CC6" w:rsidRPr="00BF3AE7">
        <w:rPr>
          <w:rFonts w:asciiTheme="majorHAnsi" w:hAnsiTheme="majorHAnsi" w:cstheme="majorHAnsi"/>
        </w:rPr>
        <w:t xml:space="preserve">er </w:t>
      </w:r>
      <w:r w:rsidR="00BB1CB7">
        <w:rPr>
          <w:rFonts w:asciiTheme="majorHAnsi" w:hAnsiTheme="majorHAnsi" w:cstheme="majorHAnsi"/>
        </w:rPr>
        <w:t>tidsvis angitt</w:t>
      </w:r>
      <w:r w:rsidR="00246CC6" w:rsidRPr="00BF3AE7">
        <w:rPr>
          <w:rFonts w:asciiTheme="majorHAnsi" w:hAnsiTheme="majorHAnsi" w:cstheme="majorHAnsi"/>
        </w:rPr>
        <w:t xml:space="preserve"> </w:t>
      </w:r>
      <w:r w:rsidR="00E80713" w:rsidRPr="00BF3AE7">
        <w:rPr>
          <w:rFonts w:asciiTheme="majorHAnsi" w:hAnsiTheme="majorHAnsi" w:cstheme="majorHAnsi"/>
        </w:rPr>
        <w:t xml:space="preserve">nokså </w:t>
      </w:r>
      <w:r w:rsidR="00BB1CB7">
        <w:rPr>
          <w:rFonts w:asciiTheme="majorHAnsi" w:hAnsiTheme="majorHAnsi" w:cstheme="majorHAnsi"/>
        </w:rPr>
        <w:t>uspesifisert</w:t>
      </w:r>
      <w:r w:rsidR="007A2E7F">
        <w:rPr>
          <w:rFonts w:asciiTheme="majorHAnsi" w:hAnsiTheme="majorHAnsi" w:cstheme="majorHAnsi"/>
        </w:rPr>
        <w:t xml:space="preserve">, </w:t>
      </w:r>
      <w:r w:rsidR="00246CC6" w:rsidRPr="00BF3AE7">
        <w:rPr>
          <w:rFonts w:asciiTheme="majorHAnsi" w:hAnsiTheme="majorHAnsi" w:cstheme="majorHAnsi"/>
        </w:rPr>
        <w:t>både med hensyn til hva det konkret skal fastsettes regler om og hvilke hensyn reglene skal ivareta.</w:t>
      </w:r>
      <w:r w:rsidR="00E80713" w:rsidRPr="00BF3AE7">
        <w:rPr>
          <w:rFonts w:asciiTheme="majorHAnsi" w:hAnsiTheme="majorHAnsi" w:cstheme="majorHAnsi"/>
        </w:rPr>
        <w:t xml:space="preserve"> Som</w:t>
      </w:r>
      <w:r w:rsidR="00246CC6" w:rsidRPr="00BF3AE7">
        <w:rPr>
          <w:rFonts w:asciiTheme="majorHAnsi" w:hAnsiTheme="majorHAnsi" w:cstheme="majorHAnsi"/>
        </w:rPr>
        <w:t xml:space="preserve"> </w:t>
      </w:r>
      <w:r w:rsidR="00E80713" w:rsidRPr="00BF3AE7">
        <w:rPr>
          <w:rFonts w:asciiTheme="majorHAnsi" w:hAnsiTheme="majorHAnsi" w:cstheme="majorHAnsi"/>
        </w:rPr>
        <w:t>eksempel kan adgangen for institusjonenes styre til å fastsette eksamensreglement i medhold av</w:t>
      </w:r>
      <w:r w:rsidR="00BD15D0">
        <w:rPr>
          <w:rFonts w:asciiTheme="majorHAnsi" w:hAnsiTheme="majorHAnsi" w:cstheme="majorHAnsi"/>
        </w:rPr>
        <w:t xml:space="preserve"> universitets- og høyskoleloven</w:t>
      </w:r>
      <w:r w:rsidR="00E80713" w:rsidRPr="00BF3AE7">
        <w:rPr>
          <w:rFonts w:asciiTheme="majorHAnsi" w:hAnsiTheme="majorHAnsi" w:cstheme="majorHAnsi"/>
        </w:rPr>
        <w:t xml:space="preserve"> § 3-9 syvende ledd nevnes. </w:t>
      </w:r>
    </w:p>
    <w:p w14:paraId="312159DA" w14:textId="77777777" w:rsidR="008C2A6B" w:rsidRPr="00BF3AE7" w:rsidRDefault="008C2A6B" w:rsidP="000165D7">
      <w:pPr>
        <w:spacing w:line="276" w:lineRule="auto"/>
        <w:rPr>
          <w:rFonts w:asciiTheme="majorHAnsi" w:hAnsiTheme="majorHAnsi" w:cstheme="majorHAnsi"/>
        </w:rPr>
      </w:pPr>
    </w:p>
    <w:p w14:paraId="312159DB" w14:textId="7D47C01F" w:rsidR="006521B8" w:rsidRPr="00BF3AE7" w:rsidRDefault="00246CC6" w:rsidP="000165D7">
      <w:pPr>
        <w:spacing w:line="276" w:lineRule="auto"/>
        <w:rPr>
          <w:rFonts w:asciiTheme="majorHAnsi" w:hAnsiTheme="majorHAnsi" w:cstheme="majorHAnsi"/>
        </w:rPr>
      </w:pPr>
      <w:r w:rsidRPr="00BF3AE7">
        <w:rPr>
          <w:rFonts w:asciiTheme="majorHAnsi" w:hAnsiTheme="majorHAnsi" w:cstheme="majorHAnsi"/>
        </w:rPr>
        <w:t>Disse løst angitte forskriftshjemlene medfører en risiko for at institusjonenes forskrifter mangler regulering av sentrale forhold. Ordningen fremstår heller ikke som eg</w:t>
      </w:r>
      <w:r w:rsidR="00B74A0A" w:rsidRPr="00BF3AE7">
        <w:rPr>
          <w:rFonts w:asciiTheme="majorHAnsi" w:hAnsiTheme="majorHAnsi" w:cstheme="majorHAnsi"/>
        </w:rPr>
        <w:t>net til å sikre at forskriftene</w:t>
      </w:r>
      <w:r w:rsidRPr="00BF3AE7">
        <w:rPr>
          <w:rFonts w:asciiTheme="majorHAnsi" w:hAnsiTheme="majorHAnsi" w:cstheme="majorHAnsi"/>
        </w:rPr>
        <w:t xml:space="preserve"> på institusjonsnivå blir utformet på en adekvat og betryggende måte. I tillegg åpner ordningen med lokale forskrifter for potensielt store forskjeller med hensyn til hvordan like forhold blir regulert fra institusjon til institusjon. </w:t>
      </w:r>
    </w:p>
    <w:p w14:paraId="312159DC" w14:textId="77777777" w:rsidR="006521B8" w:rsidRPr="00BF3AE7" w:rsidRDefault="006521B8" w:rsidP="000165D7">
      <w:pPr>
        <w:spacing w:line="276" w:lineRule="auto"/>
        <w:rPr>
          <w:rFonts w:asciiTheme="majorHAnsi" w:hAnsiTheme="majorHAnsi" w:cstheme="majorHAnsi"/>
        </w:rPr>
      </w:pPr>
    </w:p>
    <w:p w14:paraId="2112BECF" w14:textId="4C638206" w:rsidR="008A2019" w:rsidRPr="00BF3AE7" w:rsidRDefault="00246CC6" w:rsidP="00220CC2">
      <w:pPr>
        <w:spacing w:line="276" w:lineRule="auto"/>
        <w:rPr>
          <w:rFonts w:asciiTheme="majorHAnsi" w:hAnsiTheme="majorHAnsi" w:cstheme="majorHAnsi"/>
        </w:rPr>
      </w:pPr>
      <w:r w:rsidRPr="00BF3AE7">
        <w:rPr>
          <w:rFonts w:asciiTheme="majorHAnsi" w:hAnsiTheme="majorHAnsi" w:cstheme="majorHAnsi"/>
        </w:rPr>
        <w:t xml:space="preserve">Fra vårt ståsted synes det å være behov for en gjennomgang av hva det er naturlig og hensiktsmessig at det gis generelle regler om i sentralt regelverk og hva som skal overlates til hver enkelt institusjon. </w:t>
      </w:r>
    </w:p>
    <w:p w14:paraId="312159F3" w14:textId="35D8783E" w:rsidR="00441207" w:rsidRPr="00BF3AE7" w:rsidRDefault="006D58A3" w:rsidP="00510825">
      <w:pPr>
        <w:pStyle w:val="Overskrift1"/>
        <w:numPr>
          <w:ilvl w:val="0"/>
          <w:numId w:val="11"/>
        </w:numPr>
        <w:rPr>
          <w:rFonts w:eastAsiaTheme="minorHAnsi" w:cstheme="majorHAnsi"/>
        </w:rPr>
      </w:pPr>
      <w:bookmarkStart w:id="13" w:name="_Toc12631438"/>
      <w:r w:rsidRPr="00BF3AE7">
        <w:rPr>
          <w:rFonts w:eastAsiaTheme="minorHAnsi" w:cstheme="majorHAnsi"/>
        </w:rPr>
        <w:t xml:space="preserve">Et </w:t>
      </w:r>
      <w:r w:rsidR="00E73A26" w:rsidRPr="00BF3AE7">
        <w:rPr>
          <w:rFonts w:eastAsiaTheme="minorHAnsi" w:cstheme="majorHAnsi"/>
        </w:rPr>
        <w:t xml:space="preserve">begrensende </w:t>
      </w:r>
      <w:r w:rsidRPr="00BF3AE7">
        <w:rPr>
          <w:rFonts w:eastAsiaTheme="minorHAnsi" w:cstheme="majorHAnsi"/>
        </w:rPr>
        <w:t>regelverk?</w:t>
      </w:r>
      <w:bookmarkEnd w:id="13"/>
    </w:p>
    <w:p w14:paraId="312159F4" w14:textId="0C0CAF2D" w:rsidR="00441207" w:rsidRPr="00BF3AE7" w:rsidRDefault="00F0751B" w:rsidP="00692624">
      <w:pPr>
        <w:spacing w:line="276" w:lineRule="auto"/>
        <w:rPr>
          <w:rFonts w:asciiTheme="majorHAnsi" w:eastAsiaTheme="minorHAnsi" w:hAnsiTheme="majorHAnsi" w:cstheme="majorHAnsi"/>
          <w:szCs w:val="32"/>
        </w:rPr>
      </w:pPr>
      <w:r w:rsidRPr="00BF3AE7">
        <w:rPr>
          <w:rFonts w:asciiTheme="majorHAnsi" w:hAnsiTheme="majorHAnsi" w:cstheme="majorHAnsi"/>
        </w:rPr>
        <w:t>Av</w:t>
      </w:r>
      <w:r w:rsidR="003A2BE0">
        <w:rPr>
          <w:rFonts w:asciiTheme="majorHAnsi" w:hAnsiTheme="majorHAnsi" w:cstheme="majorHAnsi"/>
        </w:rPr>
        <w:t>slutningsvis ønsker NOKUT</w:t>
      </w:r>
      <w:r w:rsidRPr="00BF3AE7">
        <w:rPr>
          <w:rFonts w:asciiTheme="majorHAnsi" w:hAnsiTheme="majorHAnsi" w:cstheme="majorHAnsi"/>
        </w:rPr>
        <w:t xml:space="preserve"> </w:t>
      </w:r>
      <w:r w:rsidR="00441207" w:rsidRPr="00BF3AE7">
        <w:rPr>
          <w:rFonts w:asciiTheme="majorHAnsi" w:hAnsiTheme="majorHAnsi" w:cstheme="majorHAnsi"/>
        </w:rPr>
        <w:t xml:space="preserve">å rette oppmerksomheten mot hvorvidt dagens regulering bidrar til å sette </w:t>
      </w:r>
      <w:r w:rsidR="00D87C81" w:rsidRPr="00BF3AE7">
        <w:rPr>
          <w:rFonts w:asciiTheme="majorHAnsi" w:hAnsiTheme="majorHAnsi" w:cstheme="majorHAnsi"/>
        </w:rPr>
        <w:t>norske u</w:t>
      </w:r>
      <w:r w:rsidR="00441207" w:rsidRPr="00BF3AE7">
        <w:rPr>
          <w:rFonts w:asciiTheme="majorHAnsi" w:hAnsiTheme="majorHAnsi" w:cstheme="majorHAnsi"/>
        </w:rPr>
        <w:t xml:space="preserve">niversiteter og høyskoler i stand til å arbeide aktivt for å møte dagens og morgendagens samfunns- og arbeidsliv. </w:t>
      </w:r>
      <w:r w:rsidR="00D87C81" w:rsidRPr="00BF3AE7">
        <w:rPr>
          <w:rFonts w:asciiTheme="majorHAnsi" w:hAnsiTheme="majorHAnsi" w:cstheme="majorHAnsi"/>
        </w:rPr>
        <w:t xml:space="preserve">Spørsmålet er om </w:t>
      </w:r>
      <w:r w:rsidR="00765253">
        <w:rPr>
          <w:rFonts w:asciiTheme="majorHAnsi" w:hAnsiTheme="majorHAnsi" w:cstheme="majorHAnsi"/>
        </w:rPr>
        <w:t>lovens formål i tilstrekkelig grad åpner opp for fremtidens utvikling</w:t>
      </w:r>
      <w:r w:rsidR="00765253" w:rsidRPr="00BF3AE7">
        <w:rPr>
          <w:rFonts w:asciiTheme="majorHAnsi" w:hAnsiTheme="majorHAnsi" w:cstheme="majorHAnsi"/>
        </w:rPr>
        <w:t xml:space="preserve"> </w:t>
      </w:r>
      <w:r w:rsidR="00765253">
        <w:rPr>
          <w:rFonts w:asciiTheme="majorHAnsi" w:hAnsiTheme="majorHAnsi" w:cstheme="majorHAnsi"/>
        </w:rPr>
        <w:t xml:space="preserve">og om </w:t>
      </w:r>
      <w:r w:rsidR="00441207" w:rsidRPr="00BF3AE7">
        <w:rPr>
          <w:rFonts w:asciiTheme="majorHAnsi" w:hAnsiTheme="majorHAnsi" w:cstheme="majorHAnsi"/>
        </w:rPr>
        <w:t xml:space="preserve">dagens regulering </w:t>
      </w:r>
      <w:r w:rsidR="00D87C81" w:rsidRPr="00BF3AE7">
        <w:rPr>
          <w:rFonts w:asciiTheme="majorHAnsi" w:hAnsiTheme="majorHAnsi" w:cstheme="majorHAnsi"/>
        </w:rPr>
        <w:t xml:space="preserve">innbyr </w:t>
      </w:r>
      <w:r w:rsidR="00441207" w:rsidRPr="00BF3AE7">
        <w:rPr>
          <w:rFonts w:asciiTheme="majorHAnsi" w:hAnsiTheme="majorHAnsi" w:cstheme="majorHAnsi"/>
        </w:rPr>
        <w:t>til at institusjonene våger å ta sjanser for å utvikle seg og utarbeide nye konsepter innenfor høyere utdanning</w:t>
      </w:r>
      <w:r w:rsidR="001E35A2" w:rsidRPr="00BF3AE7">
        <w:rPr>
          <w:rFonts w:asciiTheme="majorHAnsi" w:hAnsiTheme="majorHAnsi" w:cstheme="majorHAnsi"/>
        </w:rPr>
        <w:t>.</w:t>
      </w:r>
      <w:r w:rsidR="00441207" w:rsidRPr="00BF3AE7">
        <w:rPr>
          <w:rFonts w:asciiTheme="majorHAnsi" w:hAnsiTheme="majorHAnsi" w:cstheme="majorHAnsi"/>
        </w:rPr>
        <w:t xml:space="preserve"> </w:t>
      </w:r>
      <w:r w:rsidR="00D532C2">
        <w:rPr>
          <w:rFonts w:asciiTheme="majorHAnsi" w:hAnsiTheme="majorHAnsi" w:cstheme="majorHAnsi"/>
        </w:rPr>
        <w:t>Mer konkret kan det stilles spørsmål ved</w:t>
      </w:r>
      <w:r w:rsidR="003250F4" w:rsidRPr="00BF3AE7">
        <w:rPr>
          <w:rFonts w:asciiTheme="majorHAnsi" w:hAnsiTheme="majorHAnsi" w:cstheme="majorHAnsi"/>
        </w:rPr>
        <w:t xml:space="preserve"> om det gis</w:t>
      </w:r>
      <w:r w:rsidR="00441207" w:rsidRPr="00BF3AE7">
        <w:rPr>
          <w:rFonts w:asciiTheme="majorHAnsi" w:hAnsiTheme="majorHAnsi" w:cstheme="majorHAnsi"/>
        </w:rPr>
        <w:t xml:space="preserve"> tilstrekkelig rom for innovasjon, både når det gjelde</w:t>
      </w:r>
      <w:r w:rsidR="008852E8" w:rsidRPr="00BF3AE7">
        <w:rPr>
          <w:rFonts w:asciiTheme="majorHAnsi" w:hAnsiTheme="majorHAnsi" w:cstheme="majorHAnsi"/>
        </w:rPr>
        <w:t xml:space="preserve">r rammene for utdanning </w:t>
      </w:r>
      <w:r w:rsidR="00441207" w:rsidRPr="00BF3AE7">
        <w:rPr>
          <w:rFonts w:asciiTheme="majorHAnsi" w:hAnsiTheme="majorHAnsi" w:cstheme="majorHAnsi"/>
        </w:rPr>
        <w:t xml:space="preserve">og når det gjelder å utvikle den faglige </w:t>
      </w:r>
      <w:r w:rsidR="00A11C2F">
        <w:rPr>
          <w:rFonts w:asciiTheme="majorHAnsi" w:hAnsiTheme="majorHAnsi" w:cstheme="majorHAnsi"/>
        </w:rPr>
        <w:t>kunnskapsbasen</w:t>
      </w:r>
      <w:r w:rsidR="003250F4" w:rsidRPr="00BF3AE7">
        <w:rPr>
          <w:rFonts w:asciiTheme="majorHAnsi" w:hAnsiTheme="majorHAnsi" w:cstheme="majorHAnsi"/>
        </w:rPr>
        <w:t>.</w:t>
      </w:r>
      <w:r w:rsidR="00441207" w:rsidRPr="00BF3AE7">
        <w:rPr>
          <w:rFonts w:asciiTheme="majorHAnsi" w:hAnsiTheme="majorHAnsi" w:cstheme="majorHAnsi"/>
        </w:rPr>
        <w:t xml:space="preserve"> </w:t>
      </w:r>
      <w:r w:rsidR="00D15671" w:rsidRPr="00BF3AE7">
        <w:rPr>
          <w:rFonts w:asciiTheme="majorHAnsi" w:hAnsiTheme="majorHAnsi" w:cstheme="majorHAnsi"/>
        </w:rPr>
        <w:t>Som eksempel</w:t>
      </w:r>
      <w:r w:rsidR="009B14BB" w:rsidRPr="00BF3AE7">
        <w:rPr>
          <w:rFonts w:asciiTheme="majorHAnsi" w:hAnsiTheme="majorHAnsi" w:cstheme="majorHAnsi"/>
        </w:rPr>
        <w:t xml:space="preserve">er på nyvinninger hvor regelverket kan </w:t>
      </w:r>
      <w:r w:rsidR="00A13CD5">
        <w:rPr>
          <w:rFonts w:asciiTheme="majorHAnsi" w:hAnsiTheme="majorHAnsi" w:cstheme="majorHAnsi"/>
        </w:rPr>
        <w:t xml:space="preserve">bidra til å </w:t>
      </w:r>
      <w:r w:rsidR="009B14BB" w:rsidRPr="00BF3AE7">
        <w:rPr>
          <w:rFonts w:asciiTheme="majorHAnsi" w:hAnsiTheme="majorHAnsi" w:cstheme="majorHAnsi"/>
        </w:rPr>
        <w:t>skape utfordringer</w:t>
      </w:r>
      <w:r w:rsidR="00A13CD5">
        <w:rPr>
          <w:rFonts w:asciiTheme="majorHAnsi" w:hAnsiTheme="majorHAnsi" w:cstheme="majorHAnsi"/>
        </w:rPr>
        <w:t>,</w:t>
      </w:r>
      <w:r w:rsidR="00D15671" w:rsidRPr="00BF3AE7">
        <w:rPr>
          <w:rFonts w:asciiTheme="majorHAnsi" w:hAnsiTheme="majorHAnsi" w:cstheme="majorHAnsi"/>
        </w:rPr>
        <w:t xml:space="preserve"> kan </w:t>
      </w:r>
      <w:r w:rsidR="008852E8" w:rsidRPr="00BF3AE7">
        <w:rPr>
          <w:rFonts w:asciiTheme="majorHAnsi" w:hAnsiTheme="majorHAnsi" w:cstheme="majorHAnsi"/>
        </w:rPr>
        <w:t xml:space="preserve">grunnutdanning </w:t>
      </w:r>
      <w:r w:rsidR="00A13CD5">
        <w:rPr>
          <w:rFonts w:asciiTheme="majorHAnsi" w:hAnsiTheme="majorHAnsi" w:cstheme="majorHAnsi"/>
        </w:rPr>
        <w:t xml:space="preserve">og videreutdanning </w:t>
      </w:r>
      <w:r w:rsidR="008852E8" w:rsidRPr="00BF3AE7">
        <w:rPr>
          <w:rFonts w:asciiTheme="majorHAnsi" w:hAnsiTheme="majorHAnsi" w:cstheme="majorHAnsi"/>
        </w:rPr>
        <w:t xml:space="preserve">i samarbeid med </w:t>
      </w:r>
      <w:r w:rsidR="003250F4" w:rsidRPr="00BF3AE7">
        <w:rPr>
          <w:rFonts w:asciiTheme="majorHAnsi" w:hAnsiTheme="majorHAnsi" w:cstheme="majorHAnsi"/>
        </w:rPr>
        <w:t>arbeidslivet og</w:t>
      </w:r>
      <w:r w:rsidR="008852E8" w:rsidRPr="00BF3AE7">
        <w:rPr>
          <w:rFonts w:asciiTheme="majorHAnsi" w:hAnsiTheme="majorHAnsi" w:cstheme="majorHAnsi"/>
        </w:rPr>
        <w:t xml:space="preserve"> overganger m</w:t>
      </w:r>
      <w:r w:rsidR="001E35A2" w:rsidRPr="00BF3AE7">
        <w:rPr>
          <w:rFonts w:asciiTheme="majorHAnsi" w:hAnsiTheme="majorHAnsi" w:cstheme="majorHAnsi"/>
        </w:rPr>
        <w:t>ellom ul</w:t>
      </w:r>
      <w:r w:rsidR="003250F4" w:rsidRPr="00BF3AE7">
        <w:rPr>
          <w:rFonts w:asciiTheme="majorHAnsi" w:hAnsiTheme="majorHAnsi" w:cstheme="majorHAnsi"/>
        </w:rPr>
        <w:t>ike utdanningstyper</w:t>
      </w:r>
      <w:r w:rsidR="0073371F" w:rsidRPr="00BF3AE7">
        <w:rPr>
          <w:rFonts w:asciiTheme="majorHAnsi" w:hAnsiTheme="majorHAnsi" w:cstheme="majorHAnsi"/>
        </w:rPr>
        <w:t xml:space="preserve"> nevnes</w:t>
      </w:r>
      <w:r w:rsidR="001E35A2" w:rsidRPr="00BF3AE7">
        <w:rPr>
          <w:rFonts w:asciiTheme="majorHAnsi" w:hAnsiTheme="majorHAnsi" w:cstheme="majorHAnsi"/>
        </w:rPr>
        <w:t xml:space="preserve">. </w:t>
      </w:r>
    </w:p>
    <w:p w14:paraId="312159F5" w14:textId="77777777" w:rsidR="00441207" w:rsidRPr="00BF3AE7" w:rsidRDefault="00441207" w:rsidP="00441207">
      <w:pPr>
        <w:pStyle w:val="Listeavsnitt"/>
        <w:spacing w:line="276" w:lineRule="auto"/>
        <w:ind w:left="360"/>
        <w:rPr>
          <w:rFonts w:asciiTheme="majorHAnsi" w:hAnsiTheme="majorHAnsi" w:cstheme="majorHAnsi"/>
          <w:szCs w:val="24"/>
        </w:rPr>
      </w:pPr>
    </w:p>
    <w:p w14:paraId="62109FC9" w14:textId="77777777" w:rsidR="00641C7D" w:rsidRPr="00BF3AE7" w:rsidRDefault="00441207" w:rsidP="00441207">
      <w:pPr>
        <w:spacing w:line="276" w:lineRule="auto"/>
        <w:rPr>
          <w:rFonts w:asciiTheme="majorHAnsi" w:hAnsiTheme="majorHAnsi" w:cstheme="majorHAnsi"/>
          <w:szCs w:val="24"/>
        </w:rPr>
      </w:pPr>
      <w:r w:rsidRPr="00BF3AE7">
        <w:rPr>
          <w:rFonts w:asciiTheme="majorHAnsi" w:hAnsiTheme="majorHAnsi" w:cstheme="majorHAnsi"/>
          <w:szCs w:val="24"/>
        </w:rPr>
        <w:t>I en europeisk kontekst ser vi</w:t>
      </w:r>
      <w:r w:rsidR="00641C7D" w:rsidRPr="00BF3AE7">
        <w:rPr>
          <w:rFonts w:asciiTheme="majorHAnsi" w:hAnsiTheme="majorHAnsi" w:cstheme="majorHAnsi"/>
          <w:szCs w:val="24"/>
        </w:rPr>
        <w:t xml:space="preserve"> også</w:t>
      </w:r>
      <w:r w:rsidRPr="00BF3AE7">
        <w:rPr>
          <w:rFonts w:asciiTheme="majorHAnsi" w:hAnsiTheme="majorHAnsi" w:cstheme="majorHAnsi"/>
          <w:szCs w:val="24"/>
        </w:rPr>
        <w:t xml:space="preserve"> eksempler på at nasjonal lovgivning kan virke hemmende på utvikling av faglig samarbeid. Dette gir seg utslag ved for eksempel felles eller delte grader. I europeisk kontekst er det utarbeidet en «European Approach for Quality Assurance of Joint </w:t>
      </w:r>
      <w:r w:rsidRPr="00BF3AE7">
        <w:rPr>
          <w:rFonts w:asciiTheme="majorHAnsi" w:hAnsiTheme="majorHAnsi" w:cstheme="majorHAnsi"/>
          <w:szCs w:val="24"/>
        </w:rPr>
        <w:lastRenderedPageBreak/>
        <w:t xml:space="preserve">Programmes», men en forutsetning for å kunne følge denne er at de nasjonale lovgivningene gir rom for å kunne dispensere fra nasjonale krav for å sikre en felles (høy) europeisk standard. </w:t>
      </w:r>
    </w:p>
    <w:p w14:paraId="3FD03B2E" w14:textId="77777777" w:rsidR="00641C7D" w:rsidRPr="00BF3AE7" w:rsidRDefault="00641C7D" w:rsidP="00441207">
      <w:pPr>
        <w:spacing w:line="276" w:lineRule="auto"/>
        <w:rPr>
          <w:rFonts w:asciiTheme="majorHAnsi" w:hAnsiTheme="majorHAnsi" w:cstheme="majorHAnsi"/>
          <w:szCs w:val="24"/>
        </w:rPr>
      </w:pPr>
    </w:p>
    <w:p w14:paraId="312159F8" w14:textId="09DBF817" w:rsidR="00441207" w:rsidRPr="00BF3AE7" w:rsidRDefault="00441207" w:rsidP="00821079">
      <w:pPr>
        <w:spacing w:line="276" w:lineRule="auto"/>
        <w:rPr>
          <w:rFonts w:asciiTheme="majorHAnsi" w:hAnsiTheme="majorHAnsi" w:cstheme="majorHAnsi"/>
          <w:szCs w:val="24"/>
        </w:rPr>
      </w:pPr>
      <w:r w:rsidRPr="00BF3AE7">
        <w:rPr>
          <w:rFonts w:asciiTheme="majorHAnsi" w:hAnsiTheme="majorHAnsi" w:cstheme="majorHAnsi"/>
          <w:szCs w:val="24"/>
        </w:rPr>
        <w:t>Nylig er også initiativet European Universities lansert. Norske universiteter har vist i</w:t>
      </w:r>
      <w:r w:rsidR="009F1C3F" w:rsidRPr="00BF3AE7">
        <w:rPr>
          <w:rFonts w:asciiTheme="majorHAnsi" w:hAnsiTheme="majorHAnsi" w:cstheme="majorHAnsi"/>
          <w:szCs w:val="24"/>
        </w:rPr>
        <w:t>nteresse for dette initiativet, men d</w:t>
      </w:r>
      <w:r w:rsidRPr="00BF3AE7">
        <w:rPr>
          <w:rFonts w:asciiTheme="majorHAnsi" w:hAnsiTheme="majorHAnsi" w:cstheme="majorHAnsi"/>
          <w:szCs w:val="24"/>
        </w:rPr>
        <w:t xml:space="preserve">ersom </w:t>
      </w:r>
      <w:r w:rsidR="009F1C3F" w:rsidRPr="00BF3AE7">
        <w:rPr>
          <w:rFonts w:asciiTheme="majorHAnsi" w:hAnsiTheme="majorHAnsi" w:cstheme="majorHAnsi"/>
          <w:szCs w:val="24"/>
        </w:rPr>
        <w:t>de</w:t>
      </w:r>
      <w:r w:rsidRPr="00BF3AE7">
        <w:rPr>
          <w:rFonts w:asciiTheme="majorHAnsi" w:hAnsiTheme="majorHAnsi" w:cstheme="majorHAnsi"/>
          <w:szCs w:val="24"/>
        </w:rPr>
        <w:t xml:space="preserve"> sømløst skal kunne delta vil det trolig være behov for å dispensere fra gjeldende regulering. Det samlede regelverket bør</w:t>
      </w:r>
      <w:r w:rsidR="003A2BE0">
        <w:rPr>
          <w:rFonts w:asciiTheme="majorHAnsi" w:hAnsiTheme="majorHAnsi" w:cstheme="majorHAnsi"/>
          <w:szCs w:val="24"/>
        </w:rPr>
        <w:t xml:space="preserve"> derfor</w:t>
      </w:r>
      <w:r w:rsidRPr="00BF3AE7">
        <w:rPr>
          <w:rFonts w:asciiTheme="majorHAnsi" w:hAnsiTheme="majorHAnsi" w:cstheme="majorHAnsi"/>
          <w:szCs w:val="24"/>
        </w:rPr>
        <w:t xml:space="preserve"> inneholde en klausul om å kunne fravike spesifikke kvalitetskrav dersom samarbeidet samlet sett sikr</w:t>
      </w:r>
      <w:r w:rsidR="009F1C3F" w:rsidRPr="00BF3AE7">
        <w:rPr>
          <w:rFonts w:asciiTheme="majorHAnsi" w:hAnsiTheme="majorHAnsi" w:cstheme="majorHAnsi"/>
          <w:szCs w:val="24"/>
        </w:rPr>
        <w:t xml:space="preserve">er høy internasjonal kvalitet. En slik </w:t>
      </w:r>
      <w:r w:rsidR="00B027A1" w:rsidRPr="00BF3AE7">
        <w:rPr>
          <w:rFonts w:asciiTheme="majorHAnsi" w:hAnsiTheme="majorHAnsi" w:cstheme="majorHAnsi"/>
          <w:szCs w:val="24"/>
        </w:rPr>
        <w:t>dispensasjon kan gis av Kunnskapsdepartementet</w:t>
      </w:r>
      <w:r w:rsidRPr="00BF3AE7">
        <w:rPr>
          <w:rFonts w:asciiTheme="majorHAnsi" w:hAnsiTheme="majorHAnsi" w:cstheme="majorHAnsi"/>
          <w:szCs w:val="24"/>
        </w:rPr>
        <w:t xml:space="preserve"> eller</w:t>
      </w:r>
      <w:r w:rsidR="00B027A1" w:rsidRPr="00BF3AE7">
        <w:rPr>
          <w:rFonts w:asciiTheme="majorHAnsi" w:hAnsiTheme="majorHAnsi" w:cstheme="majorHAnsi"/>
          <w:szCs w:val="24"/>
        </w:rPr>
        <w:t xml:space="preserve"> eventuelt etter </w:t>
      </w:r>
      <w:r w:rsidR="009F1C3F" w:rsidRPr="00BF3AE7">
        <w:rPr>
          <w:rFonts w:asciiTheme="majorHAnsi" w:hAnsiTheme="majorHAnsi" w:cstheme="majorHAnsi"/>
          <w:szCs w:val="24"/>
        </w:rPr>
        <w:t>fullmakt av NOKUT</w:t>
      </w:r>
      <w:r w:rsidR="00A175F6" w:rsidRPr="00BF3AE7">
        <w:rPr>
          <w:rFonts w:asciiTheme="majorHAnsi" w:hAnsiTheme="majorHAnsi" w:cstheme="majorHAnsi"/>
          <w:szCs w:val="24"/>
        </w:rPr>
        <w:t>.</w:t>
      </w:r>
    </w:p>
    <w:sectPr w:rsidR="00441207" w:rsidRPr="00BF3AE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D173" w14:textId="77777777" w:rsidR="00E10341" w:rsidRDefault="00E10341" w:rsidP="007D1C82">
      <w:r>
        <w:separator/>
      </w:r>
    </w:p>
  </w:endnote>
  <w:endnote w:type="continuationSeparator" w:id="0">
    <w:p w14:paraId="2CCE89D4" w14:textId="77777777" w:rsidR="00E10341" w:rsidRDefault="00E10341" w:rsidP="007D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363465"/>
      <w:docPartObj>
        <w:docPartGallery w:val="Page Numbers (Bottom of Page)"/>
        <w:docPartUnique/>
      </w:docPartObj>
    </w:sdtPr>
    <w:sdtEndPr/>
    <w:sdtContent>
      <w:p w14:paraId="4A39AADC" w14:textId="27DA0730" w:rsidR="00767CE5" w:rsidRDefault="00767CE5">
        <w:pPr>
          <w:pStyle w:val="Bunntekst"/>
          <w:jc w:val="right"/>
        </w:pPr>
        <w:r>
          <w:fldChar w:fldCharType="begin"/>
        </w:r>
        <w:r>
          <w:instrText>PAGE   \* MERGEFORMAT</w:instrText>
        </w:r>
        <w:r>
          <w:fldChar w:fldCharType="separate"/>
        </w:r>
        <w:r w:rsidR="00377D2B">
          <w:rPr>
            <w:noProof/>
          </w:rPr>
          <w:t>1</w:t>
        </w:r>
        <w:r>
          <w:fldChar w:fldCharType="end"/>
        </w:r>
      </w:p>
    </w:sdtContent>
  </w:sdt>
  <w:p w14:paraId="00362B8E" w14:textId="77777777" w:rsidR="00767CE5" w:rsidRDefault="00767CE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799B6" w14:textId="77777777" w:rsidR="00E10341" w:rsidRDefault="00E10341" w:rsidP="007D1C82">
      <w:r>
        <w:separator/>
      </w:r>
    </w:p>
  </w:footnote>
  <w:footnote w:type="continuationSeparator" w:id="0">
    <w:p w14:paraId="535640F2" w14:textId="77777777" w:rsidR="00E10341" w:rsidRDefault="00E10341" w:rsidP="007D1C82">
      <w:r>
        <w:continuationSeparator/>
      </w:r>
    </w:p>
  </w:footnote>
  <w:footnote w:id="1">
    <w:p w14:paraId="5427BECD" w14:textId="77777777" w:rsidR="00844EE4" w:rsidRDefault="00844EE4" w:rsidP="00844EE4">
      <w:pPr>
        <w:pStyle w:val="Fotnotetekst"/>
      </w:pPr>
      <w:r>
        <w:rPr>
          <w:rStyle w:val="Fotnotereferanse"/>
        </w:rPr>
        <w:footnoteRef/>
      </w:r>
      <w:r>
        <w:t xml:space="preserve"> </w:t>
      </w:r>
      <w:r w:rsidRPr="004C385E">
        <w:t>Lov 1. april 2005 nr. 15 om universiteter og høyskoler (universitets- og høyskoleloven).</w:t>
      </w:r>
    </w:p>
  </w:footnote>
  <w:footnote w:id="2">
    <w:p w14:paraId="134B309D" w14:textId="1121F51A" w:rsidR="00686A72" w:rsidRDefault="00686A72">
      <w:pPr>
        <w:pStyle w:val="Fotnotetekst"/>
      </w:pPr>
      <w:r>
        <w:rPr>
          <w:rStyle w:val="Fotnotereferanse"/>
        </w:rPr>
        <w:footnoteRef/>
      </w:r>
      <w:r>
        <w:t xml:space="preserve"> Se f</w:t>
      </w:r>
      <w:r w:rsidRPr="00686A72">
        <w:t xml:space="preserve">orskrift </w:t>
      </w:r>
      <w:r w:rsidR="00767CE5">
        <w:t xml:space="preserve">1. februar 2010 nr. 96 </w:t>
      </w:r>
      <w:r w:rsidRPr="00686A72">
        <w:t>om kvalitetssikring og kvalitetsutvikling i høyere utdanning og fagskoleutdanning</w:t>
      </w:r>
      <w:r>
        <w:t xml:space="preserve"> (st</w:t>
      </w:r>
      <w:r w:rsidR="006D2F6F">
        <w:t>udiekvalitetsforskriften) § 3-3</w:t>
      </w:r>
      <w:r w:rsidR="00A13CD5">
        <w:t xml:space="preserve"> og </w:t>
      </w:r>
      <w:r w:rsidR="00767CE5">
        <w:t>f</w:t>
      </w:r>
      <w:r w:rsidR="00A13CD5" w:rsidRPr="00A13CD5">
        <w:t xml:space="preserve">orskrift </w:t>
      </w:r>
      <w:r w:rsidR="00CE38D5">
        <w:t xml:space="preserve">7. februar 2017 </w:t>
      </w:r>
      <w:r w:rsidR="00662DAB">
        <w:t xml:space="preserve">nr. 137 </w:t>
      </w:r>
      <w:r w:rsidR="00A13CD5" w:rsidRPr="00A13CD5">
        <w:t>om tilsyn med utdanningskvaliteten i høyere utdanning</w:t>
      </w:r>
      <w:r w:rsidR="00A13CD5">
        <w:t xml:space="preserve"> </w:t>
      </w:r>
      <w:r w:rsidR="00CE38D5">
        <w:t xml:space="preserve">(studietilsynsforskriften) </w:t>
      </w:r>
      <w:r w:rsidR="00A13CD5">
        <w:t>§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1EE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2F4210"/>
    <w:multiLevelType w:val="hybridMultilevel"/>
    <w:tmpl w:val="470026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66F5D45"/>
    <w:multiLevelType w:val="hybridMultilevel"/>
    <w:tmpl w:val="5094B1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5826A0"/>
    <w:multiLevelType w:val="hybridMultilevel"/>
    <w:tmpl w:val="118A4B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A925E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2665E3"/>
    <w:multiLevelType w:val="hybridMultilevel"/>
    <w:tmpl w:val="9CFE54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1665D4D"/>
    <w:multiLevelType w:val="hybridMultilevel"/>
    <w:tmpl w:val="34A4EDA4"/>
    <w:lvl w:ilvl="0" w:tplc="0414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7" w15:restartNumberingAfterBreak="0">
    <w:nsid w:val="484828BE"/>
    <w:multiLevelType w:val="hybridMultilevel"/>
    <w:tmpl w:val="59C2C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8831372"/>
    <w:multiLevelType w:val="hybridMultilevel"/>
    <w:tmpl w:val="F1DE9A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C284D66"/>
    <w:multiLevelType w:val="hybridMultilevel"/>
    <w:tmpl w:val="BE14BBDC"/>
    <w:lvl w:ilvl="0" w:tplc="39D40C0E">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CD00BAC"/>
    <w:multiLevelType w:val="hybridMultilevel"/>
    <w:tmpl w:val="4CC2423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405675"/>
    <w:multiLevelType w:val="hybridMultilevel"/>
    <w:tmpl w:val="3F728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A279A3"/>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98403F"/>
    <w:multiLevelType w:val="hybridMultilevel"/>
    <w:tmpl w:val="FF424D2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4" w15:restartNumberingAfterBreak="0">
    <w:nsid w:val="58661A10"/>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880F9E"/>
    <w:multiLevelType w:val="multilevel"/>
    <w:tmpl w:val="14F43F8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EA56FF"/>
    <w:multiLevelType w:val="hybridMultilevel"/>
    <w:tmpl w:val="6798AD1E"/>
    <w:lvl w:ilvl="0" w:tplc="0414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36967"/>
    <w:multiLevelType w:val="hybridMultilevel"/>
    <w:tmpl w:val="F59E36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2E80753"/>
    <w:multiLevelType w:val="hybridMultilevel"/>
    <w:tmpl w:val="5090F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4C74F9"/>
    <w:multiLevelType w:val="hybridMultilevel"/>
    <w:tmpl w:val="800CB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E56AF"/>
    <w:multiLevelType w:val="hybridMultilevel"/>
    <w:tmpl w:val="AF0E530C"/>
    <w:lvl w:ilvl="0" w:tplc="09C4E91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7"/>
  </w:num>
  <w:num w:numId="3">
    <w:abstractNumId w:val="13"/>
  </w:num>
  <w:num w:numId="4">
    <w:abstractNumId w:val="6"/>
  </w:num>
  <w:num w:numId="5">
    <w:abstractNumId w:val="18"/>
  </w:num>
  <w:num w:numId="6">
    <w:abstractNumId w:val="19"/>
  </w:num>
  <w:num w:numId="7">
    <w:abstractNumId w:val="14"/>
  </w:num>
  <w:num w:numId="8">
    <w:abstractNumId w:val="16"/>
  </w:num>
  <w:num w:numId="9">
    <w:abstractNumId w:val="10"/>
  </w:num>
  <w:num w:numId="10">
    <w:abstractNumId w:val="20"/>
  </w:num>
  <w:num w:numId="11">
    <w:abstractNumId w:val="12"/>
  </w:num>
  <w:num w:numId="12">
    <w:abstractNumId w:val="9"/>
  </w:num>
  <w:num w:numId="13">
    <w:abstractNumId w:val="1"/>
  </w:num>
  <w:num w:numId="14">
    <w:abstractNumId w:val="2"/>
  </w:num>
  <w:num w:numId="15">
    <w:abstractNumId w:val="15"/>
  </w:num>
  <w:num w:numId="16">
    <w:abstractNumId w:val="8"/>
  </w:num>
  <w:num w:numId="17">
    <w:abstractNumId w:val="11"/>
  </w:num>
  <w:num w:numId="18">
    <w:abstractNumId w:val="17"/>
  </w:num>
  <w:num w:numId="19">
    <w:abstractNumId w:val="5"/>
  </w:num>
  <w:num w:numId="20">
    <w:abstractNumId w:val="4"/>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b-NO"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83"/>
    <w:rsid w:val="000102AA"/>
    <w:rsid w:val="00014BE0"/>
    <w:rsid w:val="000165D7"/>
    <w:rsid w:val="00037D24"/>
    <w:rsid w:val="0004315D"/>
    <w:rsid w:val="00043E5F"/>
    <w:rsid w:val="000569BF"/>
    <w:rsid w:val="00056B71"/>
    <w:rsid w:val="00063D15"/>
    <w:rsid w:val="00070954"/>
    <w:rsid w:val="00081C8F"/>
    <w:rsid w:val="00084B4D"/>
    <w:rsid w:val="00084DD3"/>
    <w:rsid w:val="00092728"/>
    <w:rsid w:val="00096AD3"/>
    <w:rsid w:val="00097490"/>
    <w:rsid w:val="000A0605"/>
    <w:rsid w:val="000C0EE3"/>
    <w:rsid w:val="000C196A"/>
    <w:rsid w:val="000C1F59"/>
    <w:rsid w:val="000C2E64"/>
    <w:rsid w:val="000D22AC"/>
    <w:rsid w:val="000D59E3"/>
    <w:rsid w:val="000D731A"/>
    <w:rsid w:val="000E711F"/>
    <w:rsid w:val="00104F46"/>
    <w:rsid w:val="001149B2"/>
    <w:rsid w:val="001167B1"/>
    <w:rsid w:val="0013181F"/>
    <w:rsid w:val="00137C17"/>
    <w:rsid w:val="00140CC4"/>
    <w:rsid w:val="00141611"/>
    <w:rsid w:val="0014790B"/>
    <w:rsid w:val="00154AF9"/>
    <w:rsid w:val="001679D7"/>
    <w:rsid w:val="00171CC3"/>
    <w:rsid w:val="00173F9A"/>
    <w:rsid w:val="00183254"/>
    <w:rsid w:val="001850C6"/>
    <w:rsid w:val="001A507B"/>
    <w:rsid w:val="001B4BFB"/>
    <w:rsid w:val="001C3BC8"/>
    <w:rsid w:val="001C7220"/>
    <w:rsid w:val="001C748C"/>
    <w:rsid w:val="001D2693"/>
    <w:rsid w:val="001D59E9"/>
    <w:rsid w:val="001E35A2"/>
    <w:rsid w:val="001F47B4"/>
    <w:rsid w:val="001F4C7B"/>
    <w:rsid w:val="00202413"/>
    <w:rsid w:val="0020323C"/>
    <w:rsid w:val="00213EBF"/>
    <w:rsid w:val="00216F60"/>
    <w:rsid w:val="00220CC2"/>
    <w:rsid w:val="00220F84"/>
    <w:rsid w:val="00222EFC"/>
    <w:rsid w:val="002243BF"/>
    <w:rsid w:val="00225EE7"/>
    <w:rsid w:val="00233899"/>
    <w:rsid w:val="00235352"/>
    <w:rsid w:val="00236B3D"/>
    <w:rsid w:val="00237F31"/>
    <w:rsid w:val="002410D1"/>
    <w:rsid w:val="0024557E"/>
    <w:rsid w:val="00246CC6"/>
    <w:rsid w:val="0025117B"/>
    <w:rsid w:val="002554E4"/>
    <w:rsid w:val="00260C79"/>
    <w:rsid w:val="002725B1"/>
    <w:rsid w:val="00272B24"/>
    <w:rsid w:val="00273C7A"/>
    <w:rsid w:val="00273D93"/>
    <w:rsid w:val="00274A86"/>
    <w:rsid w:val="002874AE"/>
    <w:rsid w:val="002A254D"/>
    <w:rsid w:val="002C3D26"/>
    <w:rsid w:val="002C5565"/>
    <w:rsid w:val="002C70F1"/>
    <w:rsid w:val="002D6F06"/>
    <w:rsid w:val="002E0EDF"/>
    <w:rsid w:val="002E744E"/>
    <w:rsid w:val="002F0BFA"/>
    <w:rsid w:val="002F1BFB"/>
    <w:rsid w:val="002F21B4"/>
    <w:rsid w:val="002F2F56"/>
    <w:rsid w:val="002F43FC"/>
    <w:rsid w:val="00302583"/>
    <w:rsid w:val="00304F3C"/>
    <w:rsid w:val="00305D8E"/>
    <w:rsid w:val="003209F9"/>
    <w:rsid w:val="003237F5"/>
    <w:rsid w:val="003250F4"/>
    <w:rsid w:val="00332430"/>
    <w:rsid w:val="003354D8"/>
    <w:rsid w:val="003375FB"/>
    <w:rsid w:val="00340C58"/>
    <w:rsid w:val="003503A3"/>
    <w:rsid w:val="00353064"/>
    <w:rsid w:val="0037732B"/>
    <w:rsid w:val="00377D2B"/>
    <w:rsid w:val="00387C08"/>
    <w:rsid w:val="003A2BE0"/>
    <w:rsid w:val="003B1B74"/>
    <w:rsid w:val="003C4FE0"/>
    <w:rsid w:val="003D0227"/>
    <w:rsid w:val="003D732C"/>
    <w:rsid w:val="003E3FD4"/>
    <w:rsid w:val="003E7D3E"/>
    <w:rsid w:val="003F6393"/>
    <w:rsid w:val="003F6CFE"/>
    <w:rsid w:val="00404E7D"/>
    <w:rsid w:val="00415B24"/>
    <w:rsid w:val="00417BE7"/>
    <w:rsid w:val="00422C68"/>
    <w:rsid w:val="004243F8"/>
    <w:rsid w:val="0043349F"/>
    <w:rsid w:val="00437F83"/>
    <w:rsid w:val="00441207"/>
    <w:rsid w:val="0045142E"/>
    <w:rsid w:val="00462A42"/>
    <w:rsid w:val="00474FC5"/>
    <w:rsid w:val="00475486"/>
    <w:rsid w:val="004858E8"/>
    <w:rsid w:val="00486DAE"/>
    <w:rsid w:val="004878F1"/>
    <w:rsid w:val="004909BC"/>
    <w:rsid w:val="0049318E"/>
    <w:rsid w:val="004A75DD"/>
    <w:rsid w:val="004B5CB2"/>
    <w:rsid w:val="004C26A9"/>
    <w:rsid w:val="004C385E"/>
    <w:rsid w:val="004C5DBD"/>
    <w:rsid w:val="004D6A5D"/>
    <w:rsid w:val="004E3A42"/>
    <w:rsid w:val="004F0BB4"/>
    <w:rsid w:val="004F1B10"/>
    <w:rsid w:val="005003A7"/>
    <w:rsid w:val="00500B97"/>
    <w:rsid w:val="00510825"/>
    <w:rsid w:val="00520AAE"/>
    <w:rsid w:val="00520D48"/>
    <w:rsid w:val="00524559"/>
    <w:rsid w:val="0052798D"/>
    <w:rsid w:val="005279A7"/>
    <w:rsid w:val="00534A79"/>
    <w:rsid w:val="005439E3"/>
    <w:rsid w:val="005443B8"/>
    <w:rsid w:val="00550538"/>
    <w:rsid w:val="005537C1"/>
    <w:rsid w:val="0056015F"/>
    <w:rsid w:val="00564A82"/>
    <w:rsid w:val="00566D96"/>
    <w:rsid w:val="005750D7"/>
    <w:rsid w:val="00575228"/>
    <w:rsid w:val="00577E65"/>
    <w:rsid w:val="005823E8"/>
    <w:rsid w:val="00582873"/>
    <w:rsid w:val="0058526C"/>
    <w:rsid w:val="00592E46"/>
    <w:rsid w:val="0059389E"/>
    <w:rsid w:val="005A0EB7"/>
    <w:rsid w:val="005A5758"/>
    <w:rsid w:val="005A7A5D"/>
    <w:rsid w:val="005B04A6"/>
    <w:rsid w:val="005B17C5"/>
    <w:rsid w:val="005B7F06"/>
    <w:rsid w:val="005C1C79"/>
    <w:rsid w:val="005C2E13"/>
    <w:rsid w:val="005D064D"/>
    <w:rsid w:val="005D2FCD"/>
    <w:rsid w:val="005D302B"/>
    <w:rsid w:val="005E02A0"/>
    <w:rsid w:val="005E17D1"/>
    <w:rsid w:val="005E58F4"/>
    <w:rsid w:val="0060186A"/>
    <w:rsid w:val="00603210"/>
    <w:rsid w:val="00604FEF"/>
    <w:rsid w:val="00606553"/>
    <w:rsid w:val="0061005E"/>
    <w:rsid w:val="0061050F"/>
    <w:rsid w:val="0061633B"/>
    <w:rsid w:val="006223B8"/>
    <w:rsid w:val="00622C24"/>
    <w:rsid w:val="00624DE2"/>
    <w:rsid w:val="00641C7D"/>
    <w:rsid w:val="00642D94"/>
    <w:rsid w:val="006450B8"/>
    <w:rsid w:val="00646B9C"/>
    <w:rsid w:val="0065043B"/>
    <w:rsid w:val="006521B8"/>
    <w:rsid w:val="0065280E"/>
    <w:rsid w:val="00653690"/>
    <w:rsid w:val="00662DAB"/>
    <w:rsid w:val="00665E0A"/>
    <w:rsid w:val="00677719"/>
    <w:rsid w:val="00682F94"/>
    <w:rsid w:val="00686A72"/>
    <w:rsid w:val="00692624"/>
    <w:rsid w:val="00695D6B"/>
    <w:rsid w:val="00697A92"/>
    <w:rsid w:val="006A0B53"/>
    <w:rsid w:val="006A128E"/>
    <w:rsid w:val="006A61B8"/>
    <w:rsid w:val="006B5D57"/>
    <w:rsid w:val="006B6697"/>
    <w:rsid w:val="006C6BCF"/>
    <w:rsid w:val="006D2F6F"/>
    <w:rsid w:val="006D58A3"/>
    <w:rsid w:val="006E2FC0"/>
    <w:rsid w:val="00713583"/>
    <w:rsid w:val="0073371F"/>
    <w:rsid w:val="00734176"/>
    <w:rsid w:val="00741D6B"/>
    <w:rsid w:val="007428D1"/>
    <w:rsid w:val="0074575D"/>
    <w:rsid w:val="00746C38"/>
    <w:rsid w:val="007515D7"/>
    <w:rsid w:val="00751BF6"/>
    <w:rsid w:val="00755BEA"/>
    <w:rsid w:val="00755CD5"/>
    <w:rsid w:val="00756678"/>
    <w:rsid w:val="00765253"/>
    <w:rsid w:val="00766345"/>
    <w:rsid w:val="00767CE5"/>
    <w:rsid w:val="00775AAD"/>
    <w:rsid w:val="0077737A"/>
    <w:rsid w:val="00786088"/>
    <w:rsid w:val="00786929"/>
    <w:rsid w:val="00795ECF"/>
    <w:rsid w:val="007970F3"/>
    <w:rsid w:val="007A2E7F"/>
    <w:rsid w:val="007A7F44"/>
    <w:rsid w:val="007C32A2"/>
    <w:rsid w:val="007C3F45"/>
    <w:rsid w:val="007C5D42"/>
    <w:rsid w:val="007D1C82"/>
    <w:rsid w:val="007E0AAD"/>
    <w:rsid w:val="007E3139"/>
    <w:rsid w:val="007F06F3"/>
    <w:rsid w:val="007F7BA5"/>
    <w:rsid w:val="0080249E"/>
    <w:rsid w:val="00803272"/>
    <w:rsid w:val="00803353"/>
    <w:rsid w:val="00804555"/>
    <w:rsid w:val="0080474C"/>
    <w:rsid w:val="00810C09"/>
    <w:rsid w:val="00811255"/>
    <w:rsid w:val="00821079"/>
    <w:rsid w:val="008321E6"/>
    <w:rsid w:val="00841621"/>
    <w:rsid w:val="00842E2E"/>
    <w:rsid w:val="00844EE4"/>
    <w:rsid w:val="00845B66"/>
    <w:rsid w:val="00850995"/>
    <w:rsid w:val="00851B45"/>
    <w:rsid w:val="008529D0"/>
    <w:rsid w:val="00856035"/>
    <w:rsid w:val="0085636F"/>
    <w:rsid w:val="0086296F"/>
    <w:rsid w:val="008852E8"/>
    <w:rsid w:val="00891647"/>
    <w:rsid w:val="008A2019"/>
    <w:rsid w:val="008A7B52"/>
    <w:rsid w:val="008B33B0"/>
    <w:rsid w:val="008B4A2E"/>
    <w:rsid w:val="008C2A6B"/>
    <w:rsid w:val="008C76A3"/>
    <w:rsid w:val="008D4E77"/>
    <w:rsid w:val="008D6D73"/>
    <w:rsid w:val="008F1DA4"/>
    <w:rsid w:val="008F7824"/>
    <w:rsid w:val="00905676"/>
    <w:rsid w:val="009110BE"/>
    <w:rsid w:val="00915FD0"/>
    <w:rsid w:val="00922C11"/>
    <w:rsid w:val="00931C10"/>
    <w:rsid w:val="00957F45"/>
    <w:rsid w:val="00964E57"/>
    <w:rsid w:val="009810A9"/>
    <w:rsid w:val="009837D3"/>
    <w:rsid w:val="0098428D"/>
    <w:rsid w:val="0098578A"/>
    <w:rsid w:val="009922DD"/>
    <w:rsid w:val="009960AB"/>
    <w:rsid w:val="009A3AC0"/>
    <w:rsid w:val="009A44FA"/>
    <w:rsid w:val="009A6040"/>
    <w:rsid w:val="009B14BB"/>
    <w:rsid w:val="009C07D0"/>
    <w:rsid w:val="009C1047"/>
    <w:rsid w:val="009C43FC"/>
    <w:rsid w:val="009E0DEC"/>
    <w:rsid w:val="009F1C3F"/>
    <w:rsid w:val="009F5F50"/>
    <w:rsid w:val="00A115D9"/>
    <w:rsid w:val="00A11C2F"/>
    <w:rsid w:val="00A13CD5"/>
    <w:rsid w:val="00A146CF"/>
    <w:rsid w:val="00A175F6"/>
    <w:rsid w:val="00A21FD7"/>
    <w:rsid w:val="00A24BA3"/>
    <w:rsid w:val="00A2592B"/>
    <w:rsid w:val="00A3117E"/>
    <w:rsid w:val="00A31D73"/>
    <w:rsid w:val="00A330E6"/>
    <w:rsid w:val="00A43F91"/>
    <w:rsid w:val="00A50005"/>
    <w:rsid w:val="00A51779"/>
    <w:rsid w:val="00A5594E"/>
    <w:rsid w:val="00A64122"/>
    <w:rsid w:val="00A70C75"/>
    <w:rsid w:val="00A83A74"/>
    <w:rsid w:val="00A86CE3"/>
    <w:rsid w:val="00A87557"/>
    <w:rsid w:val="00A925DF"/>
    <w:rsid w:val="00A959E8"/>
    <w:rsid w:val="00A97085"/>
    <w:rsid w:val="00AA2A3F"/>
    <w:rsid w:val="00AA4D69"/>
    <w:rsid w:val="00AB6B89"/>
    <w:rsid w:val="00AC71CD"/>
    <w:rsid w:val="00AD1D42"/>
    <w:rsid w:val="00AD398F"/>
    <w:rsid w:val="00AF3FC1"/>
    <w:rsid w:val="00AF58EA"/>
    <w:rsid w:val="00AF606B"/>
    <w:rsid w:val="00AF7A5F"/>
    <w:rsid w:val="00B0265C"/>
    <w:rsid w:val="00B027A1"/>
    <w:rsid w:val="00B150F7"/>
    <w:rsid w:val="00B312DB"/>
    <w:rsid w:val="00B37503"/>
    <w:rsid w:val="00B63113"/>
    <w:rsid w:val="00B74A0A"/>
    <w:rsid w:val="00B75652"/>
    <w:rsid w:val="00B76CC2"/>
    <w:rsid w:val="00B82089"/>
    <w:rsid w:val="00B8419A"/>
    <w:rsid w:val="00BA5065"/>
    <w:rsid w:val="00BB08D2"/>
    <w:rsid w:val="00BB1CB7"/>
    <w:rsid w:val="00BB50EB"/>
    <w:rsid w:val="00BB595A"/>
    <w:rsid w:val="00BB5E6A"/>
    <w:rsid w:val="00BC082F"/>
    <w:rsid w:val="00BD15D0"/>
    <w:rsid w:val="00BE17AF"/>
    <w:rsid w:val="00BE3B33"/>
    <w:rsid w:val="00BF3AE7"/>
    <w:rsid w:val="00C001D4"/>
    <w:rsid w:val="00C0216D"/>
    <w:rsid w:val="00C039CD"/>
    <w:rsid w:val="00C12D18"/>
    <w:rsid w:val="00C13F6C"/>
    <w:rsid w:val="00C3272A"/>
    <w:rsid w:val="00C32AB6"/>
    <w:rsid w:val="00C41790"/>
    <w:rsid w:val="00C42DAE"/>
    <w:rsid w:val="00C46ABE"/>
    <w:rsid w:val="00C7059F"/>
    <w:rsid w:val="00C72363"/>
    <w:rsid w:val="00C74952"/>
    <w:rsid w:val="00C7709A"/>
    <w:rsid w:val="00C82620"/>
    <w:rsid w:val="00C91F28"/>
    <w:rsid w:val="00CA69D0"/>
    <w:rsid w:val="00CA7452"/>
    <w:rsid w:val="00CB71F2"/>
    <w:rsid w:val="00CC0CB2"/>
    <w:rsid w:val="00CC100C"/>
    <w:rsid w:val="00CC6715"/>
    <w:rsid w:val="00CD047D"/>
    <w:rsid w:val="00CD2A6C"/>
    <w:rsid w:val="00CD54CB"/>
    <w:rsid w:val="00CE0284"/>
    <w:rsid w:val="00CE1593"/>
    <w:rsid w:val="00CE38D5"/>
    <w:rsid w:val="00CF215C"/>
    <w:rsid w:val="00D02E36"/>
    <w:rsid w:val="00D03DE9"/>
    <w:rsid w:val="00D0700D"/>
    <w:rsid w:val="00D11346"/>
    <w:rsid w:val="00D15671"/>
    <w:rsid w:val="00D20AB5"/>
    <w:rsid w:val="00D27BA6"/>
    <w:rsid w:val="00D34847"/>
    <w:rsid w:val="00D34F7D"/>
    <w:rsid w:val="00D363D0"/>
    <w:rsid w:val="00D3673D"/>
    <w:rsid w:val="00D3709A"/>
    <w:rsid w:val="00D40A43"/>
    <w:rsid w:val="00D422B2"/>
    <w:rsid w:val="00D532C2"/>
    <w:rsid w:val="00D541F3"/>
    <w:rsid w:val="00D543A8"/>
    <w:rsid w:val="00D815E2"/>
    <w:rsid w:val="00D82856"/>
    <w:rsid w:val="00D86A79"/>
    <w:rsid w:val="00D86C85"/>
    <w:rsid w:val="00D87C81"/>
    <w:rsid w:val="00D93B0C"/>
    <w:rsid w:val="00DA12FD"/>
    <w:rsid w:val="00DA1D8D"/>
    <w:rsid w:val="00DA5D4E"/>
    <w:rsid w:val="00DB48F7"/>
    <w:rsid w:val="00DB7E78"/>
    <w:rsid w:val="00DC13B2"/>
    <w:rsid w:val="00DC41DC"/>
    <w:rsid w:val="00DC4A27"/>
    <w:rsid w:val="00DD0B1C"/>
    <w:rsid w:val="00DE6B17"/>
    <w:rsid w:val="00DF690B"/>
    <w:rsid w:val="00E00305"/>
    <w:rsid w:val="00E0616A"/>
    <w:rsid w:val="00E06F40"/>
    <w:rsid w:val="00E07ACB"/>
    <w:rsid w:val="00E07B74"/>
    <w:rsid w:val="00E07F6D"/>
    <w:rsid w:val="00E10341"/>
    <w:rsid w:val="00E210BF"/>
    <w:rsid w:val="00E26D6B"/>
    <w:rsid w:val="00E463EA"/>
    <w:rsid w:val="00E52C64"/>
    <w:rsid w:val="00E5442A"/>
    <w:rsid w:val="00E65FF0"/>
    <w:rsid w:val="00E73132"/>
    <w:rsid w:val="00E73A26"/>
    <w:rsid w:val="00E80219"/>
    <w:rsid w:val="00E80713"/>
    <w:rsid w:val="00E843D5"/>
    <w:rsid w:val="00E935DF"/>
    <w:rsid w:val="00E95844"/>
    <w:rsid w:val="00EA09E7"/>
    <w:rsid w:val="00EA4DE9"/>
    <w:rsid w:val="00EA69F8"/>
    <w:rsid w:val="00EB30DD"/>
    <w:rsid w:val="00EB5AE4"/>
    <w:rsid w:val="00EB7FED"/>
    <w:rsid w:val="00EC5DCE"/>
    <w:rsid w:val="00ED268F"/>
    <w:rsid w:val="00EE7C83"/>
    <w:rsid w:val="00F00B06"/>
    <w:rsid w:val="00F052FB"/>
    <w:rsid w:val="00F0751B"/>
    <w:rsid w:val="00F27A79"/>
    <w:rsid w:val="00F34E58"/>
    <w:rsid w:val="00F34FF6"/>
    <w:rsid w:val="00F3613B"/>
    <w:rsid w:val="00F370AC"/>
    <w:rsid w:val="00F37B1D"/>
    <w:rsid w:val="00F431B9"/>
    <w:rsid w:val="00F467F4"/>
    <w:rsid w:val="00F53F35"/>
    <w:rsid w:val="00F54960"/>
    <w:rsid w:val="00F567A9"/>
    <w:rsid w:val="00F6134C"/>
    <w:rsid w:val="00F63D0D"/>
    <w:rsid w:val="00F73D64"/>
    <w:rsid w:val="00F764D1"/>
    <w:rsid w:val="00F774D0"/>
    <w:rsid w:val="00F800A1"/>
    <w:rsid w:val="00F826C9"/>
    <w:rsid w:val="00F827A8"/>
    <w:rsid w:val="00F83F44"/>
    <w:rsid w:val="00F86AA4"/>
    <w:rsid w:val="00F9197F"/>
    <w:rsid w:val="00F9292F"/>
    <w:rsid w:val="00FA01D9"/>
    <w:rsid w:val="00FB0A5A"/>
    <w:rsid w:val="00FB0C13"/>
    <w:rsid w:val="00FB2C32"/>
    <w:rsid w:val="00FC39A2"/>
    <w:rsid w:val="00FC3DCA"/>
    <w:rsid w:val="00FD239D"/>
    <w:rsid w:val="00FD466F"/>
    <w:rsid w:val="00FD5CDC"/>
    <w:rsid w:val="00FE4C8A"/>
    <w:rsid w:val="00FF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597F"/>
  <w15:chartTrackingRefBased/>
  <w15:docId w15:val="{F9C03E06-E998-4ACD-BC2A-58884EC3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83"/>
    <w:pPr>
      <w:spacing w:after="0" w:line="240" w:lineRule="auto"/>
    </w:pPr>
    <w:rPr>
      <w:rFonts w:ascii="Times" w:eastAsia="Times" w:hAnsi="Times" w:cs="Times New Roman"/>
      <w:sz w:val="24"/>
      <w:szCs w:val="20"/>
      <w:lang w:val="nb-NO"/>
    </w:rPr>
  </w:style>
  <w:style w:type="paragraph" w:styleId="Overskrift1">
    <w:name w:val="heading 1"/>
    <w:basedOn w:val="Normal"/>
    <w:next w:val="Normal"/>
    <w:link w:val="Overskrift1Tegn"/>
    <w:uiPriority w:val="9"/>
    <w:qFormat/>
    <w:rsid w:val="00E9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935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2583"/>
    <w:pPr>
      <w:ind w:left="720"/>
      <w:contextualSpacing/>
    </w:pPr>
  </w:style>
  <w:style w:type="character" w:customStyle="1" w:styleId="Overskrift1Tegn">
    <w:name w:val="Overskrift 1 Tegn"/>
    <w:basedOn w:val="Standardskriftforavsnitt"/>
    <w:link w:val="Overskrift1"/>
    <w:uiPriority w:val="9"/>
    <w:rsid w:val="00E935DF"/>
    <w:rPr>
      <w:rFonts w:asciiTheme="majorHAnsi" w:eastAsiaTheme="majorEastAsia" w:hAnsiTheme="majorHAnsi" w:cstheme="majorBidi"/>
      <w:color w:val="2E74B5" w:themeColor="accent1" w:themeShade="BF"/>
      <w:sz w:val="32"/>
      <w:szCs w:val="32"/>
      <w:lang w:val="nb-NO"/>
    </w:rPr>
  </w:style>
  <w:style w:type="character" w:customStyle="1" w:styleId="Overskrift2Tegn">
    <w:name w:val="Overskrift 2 Tegn"/>
    <w:basedOn w:val="Standardskriftforavsnitt"/>
    <w:link w:val="Overskrift2"/>
    <w:uiPriority w:val="9"/>
    <w:rsid w:val="00E935DF"/>
    <w:rPr>
      <w:rFonts w:asciiTheme="majorHAnsi" w:eastAsiaTheme="majorEastAsia" w:hAnsiTheme="majorHAnsi" w:cstheme="majorBidi"/>
      <w:color w:val="2E74B5" w:themeColor="accent1" w:themeShade="BF"/>
      <w:sz w:val="26"/>
      <w:szCs w:val="26"/>
      <w:lang w:val="nb-NO"/>
    </w:rPr>
  </w:style>
  <w:style w:type="paragraph" w:styleId="Fotnotetekst">
    <w:name w:val="footnote text"/>
    <w:basedOn w:val="Normal"/>
    <w:link w:val="FotnotetekstTegn"/>
    <w:uiPriority w:val="99"/>
    <w:semiHidden/>
    <w:unhideWhenUsed/>
    <w:rsid w:val="007D1C82"/>
    <w:rPr>
      <w:rFonts w:asciiTheme="minorHAnsi" w:eastAsiaTheme="minorHAnsi" w:hAnsiTheme="minorHAnsi" w:cstheme="minorBidi"/>
      <w:sz w:val="20"/>
    </w:rPr>
  </w:style>
  <w:style w:type="character" w:customStyle="1" w:styleId="FotnotetekstTegn">
    <w:name w:val="Fotnotetekst Tegn"/>
    <w:basedOn w:val="Standardskriftforavsnitt"/>
    <w:link w:val="Fotnotetekst"/>
    <w:uiPriority w:val="99"/>
    <w:semiHidden/>
    <w:rsid w:val="007D1C82"/>
    <w:rPr>
      <w:sz w:val="20"/>
      <w:szCs w:val="20"/>
      <w:lang w:val="nb-NO"/>
    </w:rPr>
  </w:style>
  <w:style w:type="character" w:styleId="Fotnotereferanse">
    <w:name w:val="footnote reference"/>
    <w:basedOn w:val="Standardskriftforavsnitt"/>
    <w:uiPriority w:val="99"/>
    <w:semiHidden/>
    <w:unhideWhenUsed/>
    <w:rsid w:val="007D1C82"/>
    <w:rPr>
      <w:vertAlign w:val="superscript"/>
    </w:rPr>
  </w:style>
  <w:style w:type="character" w:styleId="Merknadsreferanse">
    <w:name w:val="annotation reference"/>
    <w:basedOn w:val="Standardskriftforavsnitt"/>
    <w:uiPriority w:val="99"/>
    <w:semiHidden/>
    <w:unhideWhenUsed/>
    <w:rsid w:val="00222EFC"/>
    <w:rPr>
      <w:sz w:val="16"/>
      <w:szCs w:val="16"/>
    </w:rPr>
  </w:style>
  <w:style w:type="paragraph" w:styleId="Merknadstekst">
    <w:name w:val="annotation text"/>
    <w:basedOn w:val="Normal"/>
    <w:link w:val="MerknadstekstTegn"/>
    <w:uiPriority w:val="99"/>
    <w:semiHidden/>
    <w:unhideWhenUsed/>
    <w:rsid w:val="00222EFC"/>
    <w:rPr>
      <w:sz w:val="20"/>
    </w:rPr>
  </w:style>
  <w:style w:type="character" w:customStyle="1" w:styleId="MerknadstekstTegn">
    <w:name w:val="Merknadstekst Tegn"/>
    <w:basedOn w:val="Standardskriftforavsnitt"/>
    <w:link w:val="Merknadstekst"/>
    <w:uiPriority w:val="99"/>
    <w:semiHidden/>
    <w:rsid w:val="00222EFC"/>
    <w:rPr>
      <w:rFonts w:ascii="Times" w:eastAsia="Times" w:hAnsi="Times"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222EFC"/>
    <w:rPr>
      <w:b/>
      <w:bCs/>
    </w:rPr>
  </w:style>
  <w:style w:type="character" w:customStyle="1" w:styleId="KommentaremneTegn">
    <w:name w:val="Kommentaremne Tegn"/>
    <w:basedOn w:val="MerknadstekstTegn"/>
    <w:link w:val="Kommentaremne"/>
    <w:uiPriority w:val="99"/>
    <w:semiHidden/>
    <w:rsid w:val="00222EFC"/>
    <w:rPr>
      <w:rFonts w:ascii="Times" w:eastAsia="Times" w:hAnsi="Times" w:cs="Times New Roman"/>
      <w:b/>
      <w:bCs/>
      <w:sz w:val="20"/>
      <w:szCs w:val="20"/>
      <w:lang w:val="nb-NO"/>
    </w:rPr>
  </w:style>
  <w:style w:type="paragraph" w:styleId="Revisjon">
    <w:name w:val="Revision"/>
    <w:hidden/>
    <w:uiPriority w:val="99"/>
    <w:semiHidden/>
    <w:rsid w:val="00222EFC"/>
    <w:pPr>
      <w:spacing w:after="0" w:line="240" w:lineRule="auto"/>
    </w:pPr>
    <w:rPr>
      <w:rFonts w:ascii="Times" w:eastAsia="Times" w:hAnsi="Times" w:cs="Times New Roman"/>
      <w:sz w:val="24"/>
      <w:szCs w:val="20"/>
      <w:lang w:val="nb-NO"/>
    </w:rPr>
  </w:style>
  <w:style w:type="paragraph" w:styleId="Bobletekst">
    <w:name w:val="Balloon Text"/>
    <w:basedOn w:val="Normal"/>
    <w:link w:val="BobletekstTegn"/>
    <w:uiPriority w:val="99"/>
    <w:semiHidden/>
    <w:unhideWhenUsed/>
    <w:rsid w:val="00222EF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2EFC"/>
    <w:rPr>
      <w:rFonts w:ascii="Segoe UI" w:eastAsia="Times" w:hAnsi="Segoe UI" w:cs="Segoe UI"/>
      <w:sz w:val="18"/>
      <w:szCs w:val="18"/>
      <w:lang w:val="nb-NO"/>
    </w:rPr>
  </w:style>
  <w:style w:type="paragraph" w:styleId="Tittel">
    <w:name w:val="Title"/>
    <w:basedOn w:val="Normal"/>
    <w:next w:val="Normal"/>
    <w:link w:val="TittelTegn"/>
    <w:uiPriority w:val="10"/>
    <w:qFormat/>
    <w:rsid w:val="0085636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5636F"/>
    <w:rPr>
      <w:rFonts w:asciiTheme="majorHAnsi" w:eastAsiaTheme="majorEastAsia" w:hAnsiTheme="majorHAnsi" w:cstheme="majorBidi"/>
      <w:spacing w:val="-10"/>
      <w:kern w:val="28"/>
      <w:sz w:val="56"/>
      <w:szCs w:val="56"/>
      <w:lang w:val="nb-NO"/>
    </w:rPr>
  </w:style>
  <w:style w:type="paragraph" w:styleId="Overskriftforinnholdsfortegnelse">
    <w:name w:val="TOC Heading"/>
    <w:basedOn w:val="Overskrift1"/>
    <w:next w:val="Normal"/>
    <w:uiPriority w:val="39"/>
    <w:unhideWhenUsed/>
    <w:qFormat/>
    <w:rsid w:val="0085636F"/>
    <w:pPr>
      <w:spacing w:line="259" w:lineRule="auto"/>
      <w:outlineLvl w:val="9"/>
    </w:pPr>
    <w:rPr>
      <w:lang w:eastAsia="nb-NO"/>
    </w:rPr>
  </w:style>
  <w:style w:type="paragraph" w:styleId="INNH1">
    <w:name w:val="toc 1"/>
    <w:basedOn w:val="Normal"/>
    <w:next w:val="Normal"/>
    <w:autoRedefine/>
    <w:uiPriority w:val="39"/>
    <w:unhideWhenUsed/>
    <w:rsid w:val="0085636F"/>
    <w:pPr>
      <w:spacing w:after="100"/>
    </w:pPr>
  </w:style>
  <w:style w:type="character" w:styleId="Hyperkobling">
    <w:name w:val="Hyperlink"/>
    <w:basedOn w:val="Standardskriftforavsnitt"/>
    <w:uiPriority w:val="99"/>
    <w:unhideWhenUsed/>
    <w:rsid w:val="0085636F"/>
    <w:rPr>
      <w:color w:val="0563C1" w:themeColor="hyperlink"/>
      <w:u w:val="single"/>
    </w:rPr>
  </w:style>
  <w:style w:type="paragraph" w:styleId="INNH2">
    <w:name w:val="toc 2"/>
    <w:basedOn w:val="Normal"/>
    <w:next w:val="Normal"/>
    <w:autoRedefine/>
    <w:uiPriority w:val="39"/>
    <w:unhideWhenUsed/>
    <w:rsid w:val="00795ECF"/>
    <w:pPr>
      <w:spacing w:after="100"/>
      <w:ind w:left="240"/>
    </w:pPr>
  </w:style>
  <w:style w:type="paragraph" w:styleId="Topptekst">
    <w:name w:val="header"/>
    <w:basedOn w:val="Normal"/>
    <w:link w:val="TopptekstTegn"/>
    <w:uiPriority w:val="99"/>
    <w:unhideWhenUsed/>
    <w:rsid w:val="00767CE5"/>
    <w:pPr>
      <w:tabs>
        <w:tab w:val="center" w:pos="4536"/>
        <w:tab w:val="right" w:pos="9072"/>
      </w:tabs>
    </w:pPr>
  </w:style>
  <w:style w:type="character" w:customStyle="1" w:styleId="TopptekstTegn">
    <w:name w:val="Topptekst Tegn"/>
    <w:basedOn w:val="Standardskriftforavsnitt"/>
    <w:link w:val="Topptekst"/>
    <w:uiPriority w:val="99"/>
    <w:rsid w:val="00767CE5"/>
    <w:rPr>
      <w:rFonts w:ascii="Times" w:eastAsia="Times" w:hAnsi="Times" w:cs="Times New Roman"/>
      <w:sz w:val="24"/>
      <w:szCs w:val="20"/>
      <w:lang w:val="nb-NO"/>
    </w:rPr>
  </w:style>
  <w:style w:type="paragraph" w:styleId="Bunntekst">
    <w:name w:val="footer"/>
    <w:basedOn w:val="Normal"/>
    <w:link w:val="BunntekstTegn"/>
    <w:uiPriority w:val="99"/>
    <w:unhideWhenUsed/>
    <w:rsid w:val="00767CE5"/>
    <w:pPr>
      <w:tabs>
        <w:tab w:val="center" w:pos="4536"/>
        <w:tab w:val="right" w:pos="9072"/>
      </w:tabs>
    </w:pPr>
  </w:style>
  <w:style w:type="character" w:customStyle="1" w:styleId="BunntekstTegn">
    <w:name w:val="Bunntekst Tegn"/>
    <w:basedOn w:val="Standardskriftforavsnitt"/>
    <w:link w:val="Bunntekst"/>
    <w:uiPriority w:val="99"/>
    <w:rsid w:val="00767CE5"/>
    <w:rPr>
      <w:rFonts w:ascii="Times" w:eastAsia="Times" w:hAnsi="Times" w:cs="Times New Roman"/>
      <w:sz w:val="24"/>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52bc859-2e57-41c1-a9db-d48c98b3c665">PTM3JNYVZ3TW-122510790-812</_dlc_DocId>
    <_dlc_DocIdUrl xmlns="c52bc859-2e57-41c1-a9db-d48c98b3c665">
      <Url>http://nokutsp2016/sites/tilsyn/_layouts/15/DocIdRedir.aspx?ID=PTM3JNYVZ3TW-122510790-812</Url>
      <Description>PTM3JNYVZ3TW-122510790-812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D45F4F41C5FC4395F3EF0EDE3831F3" ma:contentTypeVersion="1" ma:contentTypeDescription="Create a new document." ma:contentTypeScope="" ma:versionID="e2df1707bcd4d8ef4887d3010a9eb640">
  <xsd:schema xmlns:xsd="http://www.w3.org/2001/XMLSchema" xmlns:xs="http://www.w3.org/2001/XMLSchema" xmlns:p="http://schemas.microsoft.com/office/2006/metadata/properties" xmlns:ns2="c52bc859-2e57-41c1-a9db-d48c98b3c665" targetNamespace="http://schemas.microsoft.com/office/2006/metadata/properties" ma:root="true" ma:fieldsID="7bd53d00f8e93ce7dd8d806e29d386dd" ns2:_="">
    <xsd:import namespace="c52bc859-2e57-41c1-a9db-d48c98b3c66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c859-2e57-41c1-a9db-d48c98b3c6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DA28-CB91-4594-BFBB-197AB7F6BD3F}">
  <ds:schemaRefs>
    <ds:schemaRef ds:uri="http://schemas.microsoft.com/sharepoint/v3/contenttype/forms"/>
  </ds:schemaRefs>
</ds:datastoreItem>
</file>

<file path=customXml/itemProps2.xml><?xml version="1.0" encoding="utf-8"?>
<ds:datastoreItem xmlns:ds="http://schemas.openxmlformats.org/officeDocument/2006/customXml" ds:itemID="{8D2FA4E1-858D-4D33-96A1-CAC88B0D110D}">
  <ds:schemaRefs>
    <ds:schemaRef ds:uri="http://schemas.microsoft.com/sharepoint/events"/>
  </ds:schemaRefs>
</ds:datastoreItem>
</file>

<file path=customXml/itemProps3.xml><?xml version="1.0" encoding="utf-8"?>
<ds:datastoreItem xmlns:ds="http://schemas.openxmlformats.org/officeDocument/2006/customXml" ds:itemID="{B91C1C4D-BE2A-4B79-8B04-0B335C26B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2bc859-2e57-41c1-a9db-d48c98b3c665"/>
    <ds:schemaRef ds:uri="http://www.w3.org/XML/1998/namespace"/>
    <ds:schemaRef ds:uri="http://purl.org/dc/dcmitype/"/>
  </ds:schemaRefs>
</ds:datastoreItem>
</file>

<file path=customXml/itemProps4.xml><?xml version="1.0" encoding="utf-8"?>
<ds:datastoreItem xmlns:ds="http://schemas.openxmlformats.org/officeDocument/2006/customXml" ds:itemID="{972C5FA9-1F27-4091-8C36-9D79E4BD5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c859-2e57-41c1-a9db-d48c98b3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0E0C8F-5CB7-46CF-9BC8-AD516473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14011</Characters>
  <Application>Microsoft Office Word</Application>
  <DocSecurity>4</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NOKUT</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Lund</dc:creator>
  <cp:keywords/>
  <dc:description/>
  <cp:lastModifiedBy>Aasen Therese Sofie</cp:lastModifiedBy>
  <cp:revision>2</cp:revision>
  <dcterms:created xsi:type="dcterms:W3CDTF">2019-08-06T10:39:00Z</dcterms:created>
  <dcterms:modified xsi:type="dcterms:W3CDTF">2019-08-06T10:39:00Z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0x0101000FD45F4F41C5FC4395F3EF0EDE3831F3</vt:lpwstr>
  </property>
  <property fmtid="{D5CDD505-2E9C-101B-9397-08002B2CF9AE}" pid="3" name="_dlc_DocIdItemGuid">
    <vt:lpwstr>90e21d16-a363-422f-b9a7-ff73698de41e</vt:lpwstr>
  </property>
  <property fmtid="{D5CDD505-2E9C-101B-9397-08002B2CF9AE}" pid="4" name="sipTrackRevision">
    <vt:lpwstr>false</vt:lpwstr>
  </property>
</Properties>
</file>